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3EB0" w:rsidRPr="002571FE" w:rsidRDefault="00F93EB0" w:rsidP="00F93EB0">
      <w:pPr>
        <w:tabs>
          <w:tab w:val="left" w:pos="7920"/>
        </w:tabs>
        <w:rPr>
          <w:rFonts w:ascii="Arial" w:hAnsi="Arial" w:cs="Arial"/>
          <w:b/>
        </w:rPr>
      </w:pPr>
      <w:r w:rsidRPr="002C213F">
        <w:rPr>
          <w:rFonts w:ascii="Arial" w:hAnsi="Arial" w:cs="Arial"/>
          <w:b/>
          <w:lang w:val="de-DE"/>
        </w:rPr>
        <w:t xml:space="preserve">3GPP TSG-RAN </w:t>
      </w:r>
      <w:r>
        <w:rPr>
          <w:rFonts w:ascii="Arial" w:hAnsi="Arial" w:cs="Arial"/>
          <w:b/>
          <w:lang w:val="de-DE"/>
        </w:rPr>
        <w:t>WG4 Meeting #</w:t>
      </w:r>
      <w:r w:rsidR="00DC6419">
        <w:rPr>
          <w:rFonts w:ascii="Arial" w:hAnsi="Arial" w:cs="Arial"/>
          <w:b/>
          <w:lang w:val="de-DE"/>
        </w:rPr>
        <w:t>8</w:t>
      </w:r>
      <w:r w:rsidR="00191132">
        <w:rPr>
          <w:rFonts w:ascii="Arial" w:hAnsi="Arial" w:cs="Arial"/>
          <w:b/>
          <w:lang w:val="de-DE"/>
        </w:rPr>
        <w:t>7</w:t>
      </w:r>
      <w:r w:rsidRPr="002C213F">
        <w:rPr>
          <w:rFonts w:ascii="Arial" w:hAnsi="Arial" w:cs="Arial"/>
          <w:b/>
          <w:lang w:val="de-DE"/>
        </w:rPr>
        <w:tab/>
      </w:r>
      <w:r w:rsidRPr="002C213F">
        <w:rPr>
          <w:rFonts w:ascii="Arial" w:hAnsi="Arial" w:cs="Arial"/>
          <w:b/>
          <w:lang w:val="de-DE"/>
        </w:rPr>
        <w:tab/>
      </w:r>
      <w:r w:rsidR="002571FE" w:rsidRPr="002571FE">
        <w:rPr>
          <w:rFonts w:ascii="Arial" w:hAnsi="Arial" w:cs="Arial"/>
          <w:b/>
          <w:bCs/>
        </w:rPr>
        <w:t>R4-</w:t>
      </w:r>
      <w:r w:rsidR="00DB3560" w:rsidRPr="002571FE">
        <w:rPr>
          <w:rFonts w:ascii="Arial" w:hAnsi="Arial" w:cs="Arial"/>
          <w:b/>
          <w:bCs/>
        </w:rPr>
        <w:t>18</w:t>
      </w:r>
      <w:r w:rsidR="00DB3560">
        <w:rPr>
          <w:rFonts w:ascii="Arial" w:hAnsi="Arial" w:cs="Arial"/>
          <w:b/>
          <w:bCs/>
        </w:rPr>
        <w:t>06185</w:t>
      </w:r>
      <w:r>
        <w:rPr>
          <w:rFonts w:ascii="Arial" w:hAnsi="Arial" w:cs="Arial"/>
          <w:b/>
          <w:lang w:val="de-DE"/>
        </w:rPr>
        <w:br/>
      </w:r>
      <w:r w:rsidR="00191132">
        <w:rPr>
          <w:rFonts w:ascii="Arial" w:hAnsi="Arial" w:cs="Arial"/>
          <w:b/>
        </w:rPr>
        <w:t>Busan</w:t>
      </w:r>
      <w:r w:rsidR="00C907BE">
        <w:rPr>
          <w:rFonts w:ascii="Arial" w:hAnsi="Arial" w:cs="Arial"/>
          <w:b/>
        </w:rPr>
        <w:t xml:space="preserve">, </w:t>
      </w:r>
      <w:r w:rsidR="00191132">
        <w:rPr>
          <w:rFonts w:ascii="Arial" w:hAnsi="Arial" w:cs="Arial"/>
          <w:b/>
        </w:rPr>
        <w:t>South Korea</w:t>
      </w:r>
      <w:r w:rsidR="00C907BE">
        <w:rPr>
          <w:rFonts w:ascii="Arial" w:hAnsi="Arial" w:cs="Arial"/>
          <w:b/>
        </w:rPr>
        <w:t xml:space="preserve">, </w:t>
      </w:r>
      <w:r w:rsidR="00191132">
        <w:rPr>
          <w:rFonts w:ascii="Arial" w:hAnsi="Arial" w:cs="Arial"/>
          <w:b/>
        </w:rPr>
        <w:t>May 21 – 25,</w:t>
      </w:r>
      <w:r w:rsidR="00C907BE">
        <w:rPr>
          <w:rFonts w:ascii="Arial" w:hAnsi="Arial" w:cs="Arial"/>
          <w:b/>
        </w:rPr>
        <w:t xml:space="preserve"> 2018</w:t>
      </w:r>
    </w:p>
    <w:p w:rsidR="008F0F7D" w:rsidRPr="001678ED" w:rsidRDefault="008F0F7D" w:rsidP="00191132">
      <w:pPr>
        <w:tabs>
          <w:tab w:val="left" w:pos="1985"/>
        </w:tabs>
        <w:jc w:val="both"/>
        <w:rPr>
          <w:rFonts w:ascii="Arial" w:hAnsi="Arial" w:cs="Arial"/>
          <w:highlight w:val="yellow"/>
        </w:rPr>
      </w:pPr>
    </w:p>
    <w:p w:rsidR="001E105C" w:rsidRPr="00152053" w:rsidRDefault="001E105C" w:rsidP="00D9163E">
      <w:pPr>
        <w:tabs>
          <w:tab w:val="left" w:pos="1985"/>
        </w:tabs>
        <w:ind w:left="1983" w:hangingChars="823" w:hanging="1983"/>
        <w:jc w:val="both"/>
        <w:rPr>
          <w:rFonts w:ascii="Arial" w:hAnsi="Arial" w:cs="Arial"/>
          <w:b/>
        </w:rPr>
      </w:pPr>
      <w:r w:rsidRPr="00152053">
        <w:rPr>
          <w:rFonts w:ascii="Arial" w:hAnsi="Arial" w:cs="Arial"/>
          <w:b/>
        </w:rPr>
        <w:t>Agenda item:</w:t>
      </w:r>
      <w:r w:rsidRPr="00152053">
        <w:rPr>
          <w:rFonts w:ascii="Arial" w:hAnsi="Arial" w:cs="Arial"/>
          <w:b/>
        </w:rPr>
        <w:tab/>
      </w:r>
      <w:bookmarkStart w:id="0" w:name="Source"/>
      <w:bookmarkEnd w:id="0"/>
      <w:r w:rsidR="00321B2E">
        <w:rPr>
          <w:rFonts w:ascii="Arial" w:hAnsi="Arial" w:cs="Arial"/>
          <w:b/>
        </w:rPr>
        <w:t>7.5.8.2</w:t>
      </w:r>
    </w:p>
    <w:p w:rsidR="001E105C" w:rsidRPr="001D139F" w:rsidRDefault="001E105C" w:rsidP="001D139F">
      <w:pPr>
        <w:tabs>
          <w:tab w:val="left" w:pos="1985"/>
        </w:tabs>
        <w:ind w:left="1985" w:hanging="1985"/>
        <w:jc w:val="both"/>
        <w:rPr>
          <w:rFonts w:ascii="Arial" w:hAnsi="Arial" w:cs="Arial"/>
          <w:b/>
        </w:rPr>
      </w:pPr>
      <w:r w:rsidRPr="008F6D5B">
        <w:rPr>
          <w:rFonts w:ascii="Arial" w:hAnsi="Arial" w:cs="Arial"/>
          <w:b/>
        </w:rPr>
        <w:t>Source:</w:t>
      </w:r>
      <w:r w:rsidRPr="008F6D5B">
        <w:rPr>
          <w:rFonts w:ascii="Arial" w:hAnsi="Arial" w:cs="Arial"/>
          <w:b/>
        </w:rPr>
        <w:tab/>
      </w:r>
      <w:r w:rsidR="00181722">
        <w:rPr>
          <w:rFonts w:ascii="Arial" w:hAnsi="Arial" w:cs="Arial"/>
          <w:b/>
        </w:rPr>
        <w:t>Apple</w:t>
      </w:r>
      <w:r w:rsidR="00DC3B0D">
        <w:rPr>
          <w:rFonts w:ascii="Arial" w:hAnsi="Arial" w:cs="Arial"/>
          <w:b/>
        </w:rPr>
        <w:t xml:space="preserve"> Inc</w:t>
      </w:r>
      <w:r w:rsidR="00191132">
        <w:rPr>
          <w:rFonts w:ascii="Arial" w:hAnsi="Arial" w:cs="Arial"/>
          <w:b/>
        </w:rPr>
        <w:t>.</w:t>
      </w:r>
    </w:p>
    <w:p w:rsidR="001E105C" w:rsidRPr="00152053" w:rsidRDefault="001E105C" w:rsidP="00CE5A7E">
      <w:pPr>
        <w:tabs>
          <w:tab w:val="left" w:pos="1985"/>
        </w:tabs>
        <w:ind w:left="1983" w:hangingChars="823" w:hanging="1983"/>
        <w:jc w:val="both"/>
        <w:rPr>
          <w:rFonts w:ascii="Arial" w:hAnsi="Arial" w:cs="Arial"/>
          <w:b/>
        </w:rPr>
      </w:pPr>
      <w:r w:rsidRPr="008F6D5B">
        <w:rPr>
          <w:rFonts w:ascii="Arial" w:hAnsi="Arial" w:cs="Arial"/>
          <w:b/>
        </w:rPr>
        <w:t>Title:</w:t>
      </w:r>
      <w:r w:rsidRPr="008F6D5B">
        <w:rPr>
          <w:rFonts w:ascii="Arial" w:hAnsi="Arial" w:cs="Arial"/>
          <w:b/>
        </w:rPr>
        <w:tab/>
      </w:r>
      <w:r w:rsidR="0028298E">
        <w:rPr>
          <w:rFonts w:ascii="Arial" w:hAnsi="Arial" w:cs="Arial"/>
          <w:b/>
        </w:rPr>
        <w:t>EIRP CDF results for FR2 handheld UEs</w:t>
      </w:r>
    </w:p>
    <w:p w:rsidR="001E105C" w:rsidRPr="004C132F" w:rsidRDefault="001E105C" w:rsidP="00D9163E">
      <w:pPr>
        <w:tabs>
          <w:tab w:val="left" w:pos="1985"/>
        </w:tabs>
        <w:ind w:left="1983" w:hangingChars="823" w:hanging="1983"/>
        <w:jc w:val="both"/>
        <w:rPr>
          <w:rFonts w:ascii="Arial" w:hAnsi="Arial" w:cs="Arial"/>
          <w:b/>
        </w:rPr>
      </w:pPr>
      <w:r w:rsidRPr="00152053">
        <w:rPr>
          <w:rFonts w:ascii="Arial" w:hAnsi="Arial" w:cs="Arial"/>
          <w:b/>
        </w:rPr>
        <w:t>Document for:</w:t>
      </w:r>
      <w:r w:rsidRPr="00152053">
        <w:rPr>
          <w:rFonts w:ascii="Arial" w:hAnsi="Arial" w:cs="Arial"/>
          <w:b/>
        </w:rPr>
        <w:tab/>
      </w:r>
      <w:bookmarkStart w:id="1" w:name="DocumentFor"/>
      <w:bookmarkEnd w:id="1"/>
      <w:r w:rsidR="0028298E">
        <w:rPr>
          <w:rFonts w:ascii="Arial" w:hAnsi="Arial" w:cs="Arial"/>
          <w:b/>
        </w:rPr>
        <w:t>Discussion</w:t>
      </w:r>
    </w:p>
    <w:p w:rsidR="004B515E" w:rsidRPr="00687778" w:rsidRDefault="004B515E" w:rsidP="00687778">
      <w:pPr>
        <w:pStyle w:val="Heading1"/>
      </w:pPr>
      <w:r w:rsidRPr="00687778">
        <w:t>Introduction</w:t>
      </w:r>
    </w:p>
    <w:p w:rsidR="00191132" w:rsidRDefault="00544D61" w:rsidP="00F93EB0">
      <w:r>
        <w:t xml:space="preserve">As the NR Work Item </w:t>
      </w:r>
      <w:r>
        <w:fldChar w:fldCharType="begin"/>
      </w:r>
      <w:r>
        <w:instrText xml:space="preserve"> REF _Ref510390172 \r \h </w:instrText>
      </w:r>
      <w:r>
        <w:fldChar w:fldCharType="separate"/>
      </w:r>
      <w:r w:rsidR="006A63DA">
        <w:t>[1]</w:t>
      </w:r>
      <w:r>
        <w:fldChar w:fldCharType="end"/>
      </w:r>
      <w:r>
        <w:t xml:space="preserve"> </w:t>
      </w:r>
      <w:r w:rsidR="000B0190">
        <w:t xml:space="preserve">approaches the Stage 3 completion target (RAN #80 in June of 2018), the </w:t>
      </w:r>
      <w:r w:rsidR="00191132">
        <w:t>opportunity to achieve the timely finalization of the spherical coverage requirement</w:t>
      </w:r>
      <w:r w:rsidR="00541679">
        <w:t>, and its implementation in TS38.101-2</w:t>
      </w:r>
      <w:r w:rsidR="00DC6A90">
        <w:t xml:space="preserve"> </w:t>
      </w:r>
      <w:r w:rsidR="00DC6A90">
        <w:fldChar w:fldCharType="begin"/>
      </w:r>
      <w:r w:rsidR="00DC6A90">
        <w:instrText xml:space="preserve"> REF _Ref513617775 \r \h </w:instrText>
      </w:r>
      <w:r w:rsidR="00DC6A90">
        <w:fldChar w:fldCharType="separate"/>
      </w:r>
      <w:r w:rsidR="006A63DA">
        <w:t>[2]</w:t>
      </w:r>
      <w:r w:rsidR="00DC6A90">
        <w:fldChar w:fldCharType="end"/>
      </w:r>
      <w:r w:rsidR="00541679">
        <w:t>,</w:t>
      </w:r>
      <w:r w:rsidR="00191132">
        <w:t xml:space="preserve"> </w:t>
      </w:r>
      <w:r w:rsidR="00541679">
        <w:t>f</w:t>
      </w:r>
      <w:r w:rsidR="00191132">
        <w:t>or FR2 handheld UEs is the current RAN4 #87 meeting.</w:t>
      </w:r>
    </w:p>
    <w:p w:rsidR="00191132" w:rsidRDefault="00191132" w:rsidP="00F93EB0"/>
    <w:p w:rsidR="00114599" w:rsidRDefault="000B0190" w:rsidP="00F93EB0">
      <w:r>
        <w:t xml:space="preserve">This contribution </w:t>
      </w:r>
      <w:r w:rsidR="00541679">
        <w:t xml:space="preserve">enhances the analysis provided in </w:t>
      </w:r>
      <w:r w:rsidR="00541679">
        <w:fldChar w:fldCharType="begin"/>
      </w:r>
      <w:r w:rsidR="00541679">
        <w:instrText xml:space="preserve"> REF _Ref512770416 \r \h </w:instrText>
      </w:r>
      <w:r w:rsidR="00541679">
        <w:fldChar w:fldCharType="separate"/>
      </w:r>
      <w:r w:rsidR="006A63DA">
        <w:t>[6]</w:t>
      </w:r>
      <w:r w:rsidR="00541679">
        <w:fldChar w:fldCharType="end"/>
      </w:r>
      <w:r w:rsidR="00D2706E">
        <w:t xml:space="preserve"> and</w:t>
      </w:r>
      <w:r w:rsidR="00B9532A">
        <w:t xml:space="preserve"> </w:t>
      </w:r>
      <w:r w:rsidR="00541679">
        <w:t>provides further EIRP CDF results for inclusion into the spherical coverage discussion</w:t>
      </w:r>
      <w:r>
        <w:t>.</w:t>
      </w:r>
      <w:r w:rsidR="00853D0C">
        <w:t xml:space="preserve">  This contribution also provides measurement results to improve the confidence in the simulated results.</w:t>
      </w:r>
    </w:p>
    <w:p w:rsidR="00D14C26" w:rsidRDefault="00D14C26" w:rsidP="00F93EB0">
      <w:pPr>
        <w:pStyle w:val="Heading1"/>
      </w:pPr>
      <w:r w:rsidRPr="00D14C26">
        <w:t>Discussion</w:t>
      </w:r>
    </w:p>
    <w:p w:rsidR="0004778C" w:rsidRPr="0004778C" w:rsidRDefault="0004778C" w:rsidP="0004778C">
      <w:pPr>
        <w:pStyle w:val="Heading2"/>
      </w:pPr>
      <w:r>
        <w:t>Background</w:t>
      </w:r>
    </w:p>
    <w:p w:rsidR="00EA10A2" w:rsidRDefault="00AD587B" w:rsidP="00626850">
      <w:r>
        <w:rPr>
          <w:lang w:eastAsia="zh-CN"/>
        </w:rPr>
        <w:t>The derivation of the spherical coverage requirement has progressed according to the following work plan</w:t>
      </w:r>
      <w:r w:rsidR="00E6306D">
        <w:t xml:space="preserve"> </w:t>
      </w:r>
      <w:r w:rsidR="007F03AA">
        <w:fldChar w:fldCharType="begin"/>
      </w:r>
      <w:r w:rsidR="007F03AA">
        <w:instrText xml:space="preserve"> REF _Ref512674265 \r \h </w:instrText>
      </w:r>
      <w:r w:rsidR="007F03AA">
        <w:fldChar w:fldCharType="separate"/>
      </w:r>
      <w:r w:rsidR="006A63DA">
        <w:t>[3]</w:t>
      </w:r>
      <w:r w:rsidR="007F03AA">
        <w:fldChar w:fldCharType="end"/>
      </w:r>
      <w:r w:rsidR="00584E12">
        <w:t>:</w:t>
      </w:r>
    </w:p>
    <w:p w:rsidR="008B7A37" w:rsidRDefault="008B7A37" w:rsidP="00626850"/>
    <w:p w:rsidR="00584E12" w:rsidRDefault="00F97DEE" w:rsidP="00626850">
      <w:r>
        <w:rPr>
          <w:noProof/>
          <w:lang w:eastAsia="zh-CN"/>
        </w:rPr>
        <mc:AlternateContent>
          <mc:Choice Requires="wps">
            <w:drawing>
              <wp:inline distT="0" distB="0" distL="0" distR="0">
                <wp:extent cx="6120765" cy="2037715"/>
                <wp:effectExtent l="0" t="0" r="13335" b="1333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2037715"/>
                        </a:xfrm>
                        <a:prstGeom prst="rect">
                          <a:avLst/>
                        </a:prstGeom>
                        <a:solidFill>
                          <a:srgbClr val="FFFFFF"/>
                        </a:solidFill>
                        <a:ln w="9525">
                          <a:solidFill>
                            <a:srgbClr val="000000"/>
                          </a:solidFill>
                          <a:miter lim="800000"/>
                          <a:headEnd/>
                          <a:tailEnd/>
                        </a:ln>
                      </wps:spPr>
                      <wps:txbx>
                        <w:txbxContent>
                          <w:p w:rsidR="001F38B3" w:rsidRPr="00AD587B" w:rsidRDefault="001F38B3" w:rsidP="00C54568">
                            <w:pPr>
                              <w:rPr>
                                <w:sz w:val="20"/>
                                <w:szCs w:val="20"/>
                                <w:lang w:eastAsia="zh-CN"/>
                              </w:rPr>
                            </w:pPr>
                            <w:r w:rsidRPr="00AD587B">
                              <w:rPr>
                                <w:sz w:val="20"/>
                                <w:szCs w:val="20"/>
                                <w:lang w:eastAsia="zh-CN"/>
                              </w:rPr>
                              <w:t>Work plan for spherical coverage has been agreed in RAN4#85 as follows:</w:t>
                            </w:r>
                          </w:p>
                          <w:p w:rsidR="001F38B3" w:rsidRPr="00AD587B" w:rsidRDefault="001F38B3" w:rsidP="00E57B43">
                            <w:pPr>
                              <w:pStyle w:val="ListParagraph"/>
                              <w:numPr>
                                <w:ilvl w:val="0"/>
                                <w:numId w:val="7"/>
                              </w:numPr>
                              <w:rPr>
                                <w:sz w:val="20"/>
                                <w:szCs w:val="20"/>
                              </w:rPr>
                            </w:pPr>
                            <w:r w:rsidRPr="00AD587B">
                              <w:rPr>
                                <w:sz w:val="20"/>
                                <w:szCs w:val="20"/>
                              </w:rPr>
                              <w:t>Initiate offline and email discussion (after RAN4#85) on the use cases and model assumptions for NW performance analysis</w:t>
                            </w:r>
                          </w:p>
                          <w:p w:rsidR="001F38B3" w:rsidRPr="00AD587B" w:rsidRDefault="001F38B3" w:rsidP="00E57B43">
                            <w:pPr>
                              <w:pStyle w:val="ListParagraph"/>
                              <w:numPr>
                                <w:ilvl w:val="0"/>
                                <w:numId w:val="7"/>
                              </w:numPr>
                              <w:rPr>
                                <w:sz w:val="20"/>
                                <w:szCs w:val="20"/>
                              </w:rPr>
                            </w:pPr>
                            <w:r w:rsidRPr="00AD587B">
                              <w:rPr>
                                <w:sz w:val="20"/>
                                <w:szCs w:val="20"/>
                              </w:rPr>
                              <w:t>RAN4 NR AH #4 (January ’18)</w:t>
                            </w:r>
                          </w:p>
                          <w:p w:rsidR="001F38B3" w:rsidRPr="00AD587B" w:rsidRDefault="001F38B3" w:rsidP="00E57B43">
                            <w:pPr>
                              <w:pStyle w:val="ListParagraph"/>
                              <w:numPr>
                                <w:ilvl w:val="1"/>
                                <w:numId w:val="7"/>
                              </w:numPr>
                              <w:rPr>
                                <w:sz w:val="20"/>
                                <w:szCs w:val="20"/>
                              </w:rPr>
                            </w:pPr>
                            <w:r w:rsidRPr="00AD587B">
                              <w:rPr>
                                <w:sz w:val="20"/>
                                <w:szCs w:val="20"/>
                              </w:rPr>
                              <w:t>Initial discussion of simulation results (Both EIRP CDF and Network) based on the harmonized assumptions in this way forward.</w:t>
                            </w:r>
                          </w:p>
                          <w:p w:rsidR="001F38B3" w:rsidRPr="00AD587B" w:rsidRDefault="001F38B3" w:rsidP="00E57B43">
                            <w:pPr>
                              <w:pStyle w:val="ListParagraph"/>
                              <w:numPr>
                                <w:ilvl w:val="1"/>
                                <w:numId w:val="7"/>
                              </w:numPr>
                              <w:rPr>
                                <w:sz w:val="20"/>
                                <w:szCs w:val="20"/>
                              </w:rPr>
                            </w:pPr>
                            <w:r w:rsidRPr="00AD587B">
                              <w:rPr>
                                <w:sz w:val="20"/>
                                <w:szCs w:val="20"/>
                              </w:rPr>
                              <w:t xml:space="preserve">Propose harmonized NW model assumptions and update based on preliminary analysis. </w:t>
                            </w:r>
                          </w:p>
                          <w:p w:rsidR="001F38B3" w:rsidRPr="00AD587B" w:rsidRDefault="001F38B3" w:rsidP="00E57B43">
                            <w:pPr>
                              <w:pStyle w:val="ListParagraph"/>
                              <w:numPr>
                                <w:ilvl w:val="0"/>
                                <w:numId w:val="7"/>
                              </w:numPr>
                              <w:rPr>
                                <w:sz w:val="20"/>
                                <w:szCs w:val="20"/>
                              </w:rPr>
                            </w:pPr>
                            <w:r w:rsidRPr="00AD587B">
                              <w:rPr>
                                <w:sz w:val="20"/>
                                <w:szCs w:val="20"/>
                              </w:rPr>
                              <w:t>RAN4 #86 (February ’18)</w:t>
                            </w:r>
                          </w:p>
                          <w:p w:rsidR="001F38B3" w:rsidRPr="00AD587B" w:rsidRDefault="001F38B3" w:rsidP="00E57B43">
                            <w:pPr>
                              <w:pStyle w:val="ListParagraph"/>
                              <w:numPr>
                                <w:ilvl w:val="1"/>
                                <w:numId w:val="7"/>
                              </w:numPr>
                              <w:rPr>
                                <w:sz w:val="20"/>
                                <w:szCs w:val="20"/>
                              </w:rPr>
                            </w:pPr>
                            <w:r w:rsidRPr="00AD587B">
                              <w:rPr>
                                <w:sz w:val="20"/>
                                <w:szCs w:val="20"/>
                              </w:rPr>
                              <w:t xml:space="preserve">Deadline to submit the EIRP CDF simulation results based on the harmonized assumptions. Target preliminary EIRP CDF spherical requirement, based on the simulation outcomes.  </w:t>
                            </w:r>
                          </w:p>
                          <w:p w:rsidR="001F38B3" w:rsidRPr="00AD587B" w:rsidRDefault="001F38B3" w:rsidP="00E57B43">
                            <w:pPr>
                              <w:pStyle w:val="ListParagraph"/>
                              <w:numPr>
                                <w:ilvl w:val="1"/>
                                <w:numId w:val="7"/>
                              </w:numPr>
                              <w:rPr>
                                <w:sz w:val="20"/>
                                <w:szCs w:val="20"/>
                              </w:rPr>
                            </w:pPr>
                            <w:r w:rsidRPr="00AD587B">
                              <w:rPr>
                                <w:sz w:val="20"/>
                                <w:szCs w:val="20"/>
                              </w:rPr>
                              <w:t>Continue to improve the NW simulation accuracy reflecting initial EIRP CDF requirement (from AH #4)</w:t>
                            </w:r>
                          </w:p>
                          <w:p w:rsidR="001F38B3" w:rsidRPr="00AD587B" w:rsidRDefault="001F38B3" w:rsidP="00E57B43">
                            <w:pPr>
                              <w:pStyle w:val="ListParagraph"/>
                              <w:numPr>
                                <w:ilvl w:val="1"/>
                                <w:numId w:val="7"/>
                              </w:numPr>
                              <w:rPr>
                                <w:sz w:val="20"/>
                                <w:szCs w:val="20"/>
                              </w:rPr>
                            </w:pPr>
                            <w:r w:rsidRPr="00AD587B">
                              <w:rPr>
                                <w:sz w:val="20"/>
                                <w:szCs w:val="20"/>
                              </w:rPr>
                              <w:t>Initial discussion of measurement results for prototype devices</w:t>
                            </w:r>
                          </w:p>
                          <w:p w:rsidR="001F38B3" w:rsidRPr="00AD587B" w:rsidRDefault="001F38B3" w:rsidP="00E57B43">
                            <w:pPr>
                              <w:pStyle w:val="ListParagraph"/>
                              <w:numPr>
                                <w:ilvl w:val="0"/>
                                <w:numId w:val="7"/>
                              </w:numPr>
                              <w:rPr>
                                <w:sz w:val="20"/>
                                <w:szCs w:val="20"/>
                              </w:rPr>
                            </w:pPr>
                            <w:r w:rsidRPr="00AD587B">
                              <w:rPr>
                                <w:sz w:val="20"/>
                                <w:szCs w:val="20"/>
                              </w:rPr>
                              <w:t>RAN4 #86bis (April ’18)</w:t>
                            </w:r>
                          </w:p>
                          <w:p w:rsidR="001F38B3" w:rsidRPr="00AD587B" w:rsidRDefault="001F38B3" w:rsidP="00E57B43">
                            <w:pPr>
                              <w:pStyle w:val="ListParagraph"/>
                              <w:numPr>
                                <w:ilvl w:val="1"/>
                                <w:numId w:val="7"/>
                              </w:numPr>
                              <w:rPr>
                                <w:sz w:val="20"/>
                                <w:szCs w:val="20"/>
                              </w:rPr>
                            </w:pPr>
                            <w:r w:rsidRPr="00AD587B">
                              <w:rPr>
                                <w:sz w:val="20"/>
                                <w:szCs w:val="20"/>
                              </w:rPr>
                              <w:t>Continue to improve the NW simulation accuracy reflecting preliminary EIRP CDF requirement (#86)</w:t>
                            </w:r>
                          </w:p>
                          <w:p w:rsidR="001F38B3" w:rsidRPr="00AD587B" w:rsidRDefault="001F38B3" w:rsidP="00E57B43">
                            <w:pPr>
                              <w:pStyle w:val="ListParagraph"/>
                              <w:numPr>
                                <w:ilvl w:val="1"/>
                                <w:numId w:val="7"/>
                              </w:numPr>
                              <w:rPr>
                                <w:sz w:val="20"/>
                                <w:szCs w:val="20"/>
                              </w:rPr>
                            </w:pPr>
                            <w:r w:rsidRPr="00AD587B">
                              <w:rPr>
                                <w:sz w:val="20"/>
                                <w:szCs w:val="20"/>
                              </w:rPr>
                              <w:t>Continue to improve the prototype measurement effort and compare to preliminary EIRP CDF simulation</w:t>
                            </w:r>
                          </w:p>
                          <w:p w:rsidR="001F38B3" w:rsidRPr="00AD587B" w:rsidRDefault="001F38B3" w:rsidP="00E57B43">
                            <w:pPr>
                              <w:pStyle w:val="ListParagraph"/>
                              <w:numPr>
                                <w:ilvl w:val="0"/>
                                <w:numId w:val="7"/>
                              </w:numPr>
                              <w:rPr>
                                <w:sz w:val="20"/>
                                <w:szCs w:val="20"/>
                              </w:rPr>
                            </w:pPr>
                            <w:r w:rsidRPr="00AD587B">
                              <w:rPr>
                                <w:sz w:val="20"/>
                                <w:szCs w:val="20"/>
                              </w:rPr>
                              <w:t>RAN4 #87 (May ’18)</w:t>
                            </w:r>
                          </w:p>
                          <w:p w:rsidR="001F38B3" w:rsidRPr="00AD587B" w:rsidRDefault="001F38B3" w:rsidP="00E57B43">
                            <w:pPr>
                              <w:pStyle w:val="ListParagraph"/>
                              <w:numPr>
                                <w:ilvl w:val="1"/>
                                <w:numId w:val="7"/>
                              </w:numPr>
                              <w:rPr>
                                <w:sz w:val="20"/>
                                <w:szCs w:val="20"/>
                              </w:rPr>
                            </w:pPr>
                            <w:r w:rsidRPr="00AD587B">
                              <w:rPr>
                                <w:sz w:val="20"/>
                                <w:szCs w:val="20"/>
                              </w:rPr>
                              <w:t>Finalize the spherical coverage requirement for handheld UEs based on the contributions</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481.95pt;height:16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9DnGgIAADoEAAAOAAAAZHJzL2Uyb0RvYy54bWysU9tu2zAMfR+wfxD0vtjxcmmNOMXWLsOA&#13;&#10;7gK0+wBalmNhuk1SYndfX0pOUmPb0zA9CKJ4dEQekpubQUly5M4Loys6n+WUcM1MI/S+ot8fd2+u&#13;&#10;KPEBdAPSaF7RJ+7pzfb1q01vS16YzsiGO4Ik2pe9rWgXgi2zzLOOK/AzY7lGZ2ucgoCm22eNgx7Z&#13;&#10;lcyKPF9lvXGNdYZx7/H2bnTSbeJvW87C17b1PBBZUYwtpN2lvY57tt1AuXdgO8FOYcA/RKFAaPz0&#13;&#10;QnUHAcjBiT+olGDOeNOGGTMqM20rGE85YDbz/LdsHjqwPOWC4nh7kcn/P1r25fjNEdFg7SjRoLBE&#13;&#10;j3wI5L0ZSBHV6a0vEfRgERYGvI7ImKm394b98AjJJpjxgY/ouv9sGuSDQzDpxdA6FV9i1gRpsBxP&#13;&#10;lxLEPxleruZFvl4tKWHoK/K36/V8GcPIoDw/t86Hj9woEg8VdVjjRA/Hex9G6BmS4jRSNDshZTLc&#13;&#10;vr6VjhwB+2GX1ondT2FSk76i18tiOaY69fkpRZ7W3yiUCNjYUqiKXl1AUHYcmg+6wTChDCDkeMbs&#13;&#10;pD4JGbUbVQxDPSAwqlub5gkldWZsYBw4PHTG/aKkx+atqP95AMcpkZ80dsf1fLGI3Z6MxXJdoOGm&#13;&#10;nnrqAc2QqqKBkvF4G8YJOVgn9h3+dK74OyzlTiSRX6I6xY0Nmsp0GqY4AVM7oV5GfvsMAAD//wMA&#13;&#10;UEsDBBQABgAIAAAAIQCEDwOx4AAAAAoBAAAPAAAAZHJzL2Rvd25yZXYueG1sTI/NTsMwEITvSLyD&#13;&#10;tUjcqEOKqiaNU/GjcEFUEIq4uvGSRMTrYLtteHsWLnAZaTWa2fmK9WQHcUAfekcKLmcJCKTGmZ5a&#13;&#10;BduX6mIJIkRNRg+OUMEXBliXpyeFzo070jMe6tgKLqGQawVdjGMuZWg6tDrM3IjE3rvzVkc+fSuN&#13;&#10;10cut4NMk2Qhre6JP3R6xNsOm496bxVkbw9XMqnkU/V6v0mXN77efj72Sp2fTXcrlusViIhT/EvA&#13;&#10;DwPvh5KH7dyeTBCDAqaJv8petphnIHYK5mmSgSwL+R+h/AYAAP//AwBQSwECLQAUAAYACAAAACEA&#13;&#10;toM4kv4AAADhAQAAEwAAAAAAAAAAAAAAAAAAAAAAW0NvbnRlbnRfVHlwZXNdLnhtbFBLAQItABQA&#13;&#10;BgAIAAAAIQA4/SH/1gAAAJQBAAALAAAAAAAAAAAAAAAAAC8BAABfcmVscy8ucmVsc1BLAQItABQA&#13;&#10;BgAIAAAAIQDmY9DnGgIAADoEAAAOAAAAAAAAAAAAAAAAAC4CAABkcnMvZTJvRG9jLnhtbFBLAQIt&#13;&#10;ABQABgAIAAAAIQCEDwOx4AAAAAoBAAAPAAAAAAAAAAAAAAAAAHQEAABkcnMvZG93bnJldi54bWxQ&#13;&#10;SwUGAAAAAAQABADzAAAAgQUAAAAA&#13;&#10;">
                <v:path arrowok="t"/>
                <v:textbox style="mso-fit-shape-to-text:t">
                  <w:txbxContent>
                    <w:p w:rsidR="001F38B3" w:rsidRPr="00AD587B" w:rsidRDefault="001F38B3" w:rsidP="00C54568">
                      <w:pPr>
                        <w:rPr>
                          <w:sz w:val="20"/>
                          <w:szCs w:val="20"/>
                          <w:lang w:eastAsia="zh-CN"/>
                        </w:rPr>
                      </w:pPr>
                      <w:r w:rsidRPr="00AD587B">
                        <w:rPr>
                          <w:sz w:val="20"/>
                          <w:szCs w:val="20"/>
                          <w:lang w:eastAsia="zh-CN"/>
                        </w:rPr>
                        <w:t>Work plan for spherical coverage has been agreed in RAN4#85 as follows:</w:t>
                      </w:r>
                    </w:p>
                    <w:p w:rsidR="001F38B3" w:rsidRPr="00AD587B" w:rsidRDefault="001F38B3" w:rsidP="00E57B43">
                      <w:pPr>
                        <w:pStyle w:val="ListParagraph"/>
                        <w:numPr>
                          <w:ilvl w:val="0"/>
                          <w:numId w:val="7"/>
                        </w:numPr>
                        <w:rPr>
                          <w:sz w:val="20"/>
                          <w:szCs w:val="20"/>
                        </w:rPr>
                      </w:pPr>
                      <w:r w:rsidRPr="00AD587B">
                        <w:rPr>
                          <w:sz w:val="20"/>
                          <w:szCs w:val="20"/>
                        </w:rPr>
                        <w:t>Initiate offline and email discussion (after RAN4#85) on the use cases and model assumptions for NW performance analysis</w:t>
                      </w:r>
                    </w:p>
                    <w:p w:rsidR="001F38B3" w:rsidRPr="00AD587B" w:rsidRDefault="001F38B3" w:rsidP="00E57B43">
                      <w:pPr>
                        <w:pStyle w:val="ListParagraph"/>
                        <w:numPr>
                          <w:ilvl w:val="0"/>
                          <w:numId w:val="7"/>
                        </w:numPr>
                        <w:rPr>
                          <w:sz w:val="20"/>
                          <w:szCs w:val="20"/>
                        </w:rPr>
                      </w:pPr>
                      <w:r w:rsidRPr="00AD587B">
                        <w:rPr>
                          <w:sz w:val="20"/>
                          <w:szCs w:val="20"/>
                        </w:rPr>
                        <w:t>RAN4 NR AH #4 (January ’18)</w:t>
                      </w:r>
                    </w:p>
                    <w:p w:rsidR="001F38B3" w:rsidRPr="00AD587B" w:rsidRDefault="001F38B3" w:rsidP="00E57B43">
                      <w:pPr>
                        <w:pStyle w:val="ListParagraph"/>
                        <w:numPr>
                          <w:ilvl w:val="1"/>
                          <w:numId w:val="7"/>
                        </w:numPr>
                        <w:rPr>
                          <w:sz w:val="20"/>
                          <w:szCs w:val="20"/>
                        </w:rPr>
                      </w:pPr>
                      <w:r w:rsidRPr="00AD587B">
                        <w:rPr>
                          <w:sz w:val="20"/>
                          <w:szCs w:val="20"/>
                        </w:rPr>
                        <w:t>Initial discussion of simulation results (Both EIRP CDF and Network) based on the harmonized assumptions in this way forward.</w:t>
                      </w:r>
                    </w:p>
                    <w:p w:rsidR="001F38B3" w:rsidRPr="00AD587B" w:rsidRDefault="001F38B3" w:rsidP="00E57B43">
                      <w:pPr>
                        <w:pStyle w:val="ListParagraph"/>
                        <w:numPr>
                          <w:ilvl w:val="1"/>
                          <w:numId w:val="7"/>
                        </w:numPr>
                        <w:rPr>
                          <w:sz w:val="20"/>
                          <w:szCs w:val="20"/>
                        </w:rPr>
                      </w:pPr>
                      <w:r w:rsidRPr="00AD587B">
                        <w:rPr>
                          <w:sz w:val="20"/>
                          <w:szCs w:val="20"/>
                        </w:rPr>
                        <w:t xml:space="preserve">Propose harmonized NW model assumptions and update based on preliminary analysis. </w:t>
                      </w:r>
                    </w:p>
                    <w:p w:rsidR="001F38B3" w:rsidRPr="00AD587B" w:rsidRDefault="001F38B3" w:rsidP="00E57B43">
                      <w:pPr>
                        <w:pStyle w:val="ListParagraph"/>
                        <w:numPr>
                          <w:ilvl w:val="0"/>
                          <w:numId w:val="7"/>
                        </w:numPr>
                        <w:rPr>
                          <w:sz w:val="20"/>
                          <w:szCs w:val="20"/>
                        </w:rPr>
                      </w:pPr>
                      <w:r w:rsidRPr="00AD587B">
                        <w:rPr>
                          <w:sz w:val="20"/>
                          <w:szCs w:val="20"/>
                        </w:rPr>
                        <w:t>RAN4 #86 (February ’18)</w:t>
                      </w:r>
                    </w:p>
                    <w:p w:rsidR="001F38B3" w:rsidRPr="00AD587B" w:rsidRDefault="001F38B3" w:rsidP="00E57B43">
                      <w:pPr>
                        <w:pStyle w:val="ListParagraph"/>
                        <w:numPr>
                          <w:ilvl w:val="1"/>
                          <w:numId w:val="7"/>
                        </w:numPr>
                        <w:rPr>
                          <w:sz w:val="20"/>
                          <w:szCs w:val="20"/>
                        </w:rPr>
                      </w:pPr>
                      <w:r w:rsidRPr="00AD587B">
                        <w:rPr>
                          <w:sz w:val="20"/>
                          <w:szCs w:val="20"/>
                        </w:rPr>
                        <w:t xml:space="preserve">Deadline to submit the EIRP CDF simulation results based on the harmonized assumptions. Target preliminary EIRP CDF spherical requirement, based on the simulation outcomes.  </w:t>
                      </w:r>
                    </w:p>
                    <w:p w:rsidR="001F38B3" w:rsidRPr="00AD587B" w:rsidRDefault="001F38B3" w:rsidP="00E57B43">
                      <w:pPr>
                        <w:pStyle w:val="ListParagraph"/>
                        <w:numPr>
                          <w:ilvl w:val="1"/>
                          <w:numId w:val="7"/>
                        </w:numPr>
                        <w:rPr>
                          <w:sz w:val="20"/>
                          <w:szCs w:val="20"/>
                        </w:rPr>
                      </w:pPr>
                      <w:r w:rsidRPr="00AD587B">
                        <w:rPr>
                          <w:sz w:val="20"/>
                          <w:szCs w:val="20"/>
                        </w:rPr>
                        <w:t>Continue to improve the NW simulation accuracy reflecting initial EIRP CDF requirement (from AH #4)</w:t>
                      </w:r>
                    </w:p>
                    <w:p w:rsidR="001F38B3" w:rsidRPr="00AD587B" w:rsidRDefault="001F38B3" w:rsidP="00E57B43">
                      <w:pPr>
                        <w:pStyle w:val="ListParagraph"/>
                        <w:numPr>
                          <w:ilvl w:val="1"/>
                          <w:numId w:val="7"/>
                        </w:numPr>
                        <w:rPr>
                          <w:sz w:val="20"/>
                          <w:szCs w:val="20"/>
                        </w:rPr>
                      </w:pPr>
                      <w:r w:rsidRPr="00AD587B">
                        <w:rPr>
                          <w:sz w:val="20"/>
                          <w:szCs w:val="20"/>
                        </w:rPr>
                        <w:t>Initial discussion of measurement results for prototype devices</w:t>
                      </w:r>
                    </w:p>
                    <w:p w:rsidR="001F38B3" w:rsidRPr="00AD587B" w:rsidRDefault="001F38B3" w:rsidP="00E57B43">
                      <w:pPr>
                        <w:pStyle w:val="ListParagraph"/>
                        <w:numPr>
                          <w:ilvl w:val="0"/>
                          <w:numId w:val="7"/>
                        </w:numPr>
                        <w:rPr>
                          <w:sz w:val="20"/>
                          <w:szCs w:val="20"/>
                        </w:rPr>
                      </w:pPr>
                      <w:r w:rsidRPr="00AD587B">
                        <w:rPr>
                          <w:sz w:val="20"/>
                          <w:szCs w:val="20"/>
                        </w:rPr>
                        <w:t>RAN4 #86bis (April ’18)</w:t>
                      </w:r>
                    </w:p>
                    <w:p w:rsidR="001F38B3" w:rsidRPr="00AD587B" w:rsidRDefault="001F38B3" w:rsidP="00E57B43">
                      <w:pPr>
                        <w:pStyle w:val="ListParagraph"/>
                        <w:numPr>
                          <w:ilvl w:val="1"/>
                          <w:numId w:val="7"/>
                        </w:numPr>
                        <w:rPr>
                          <w:sz w:val="20"/>
                          <w:szCs w:val="20"/>
                        </w:rPr>
                      </w:pPr>
                      <w:r w:rsidRPr="00AD587B">
                        <w:rPr>
                          <w:sz w:val="20"/>
                          <w:szCs w:val="20"/>
                        </w:rPr>
                        <w:t>Continue to improve the NW simulation accuracy reflecting preliminary EIRP CDF requirement (#86)</w:t>
                      </w:r>
                    </w:p>
                    <w:p w:rsidR="001F38B3" w:rsidRPr="00AD587B" w:rsidRDefault="001F38B3" w:rsidP="00E57B43">
                      <w:pPr>
                        <w:pStyle w:val="ListParagraph"/>
                        <w:numPr>
                          <w:ilvl w:val="1"/>
                          <w:numId w:val="7"/>
                        </w:numPr>
                        <w:rPr>
                          <w:sz w:val="20"/>
                          <w:szCs w:val="20"/>
                        </w:rPr>
                      </w:pPr>
                      <w:r w:rsidRPr="00AD587B">
                        <w:rPr>
                          <w:sz w:val="20"/>
                          <w:szCs w:val="20"/>
                        </w:rPr>
                        <w:t>Continue to improve the prototype measurement effort and compare to preliminary EIRP CDF simulation</w:t>
                      </w:r>
                    </w:p>
                    <w:p w:rsidR="001F38B3" w:rsidRPr="00AD587B" w:rsidRDefault="001F38B3" w:rsidP="00E57B43">
                      <w:pPr>
                        <w:pStyle w:val="ListParagraph"/>
                        <w:numPr>
                          <w:ilvl w:val="0"/>
                          <w:numId w:val="7"/>
                        </w:numPr>
                        <w:rPr>
                          <w:sz w:val="20"/>
                          <w:szCs w:val="20"/>
                        </w:rPr>
                      </w:pPr>
                      <w:r w:rsidRPr="00AD587B">
                        <w:rPr>
                          <w:sz w:val="20"/>
                          <w:szCs w:val="20"/>
                        </w:rPr>
                        <w:t>RAN4 #87 (May ’18)</w:t>
                      </w:r>
                    </w:p>
                    <w:p w:rsidR="001F38B3" w:rsidRPr="00AD587B" w:rsidRDefault="001F38B3" w:rsidP="00E57B43">
                      <w:pPr>
                        <w:pStyle w:val="ListParagraph"/>
                        <w:numPr>
                          <w:ilvl w:val="1"/>
                          <w:numId w:val="7"/>
                        </w:numPr>
                        <w:rPr>
                          <w:sz w:val="20"/>
                          <w:szCs w:val="20"/>
                        </w:rPr>
                      </w:pPr>
                      <w:r w:rsidRPr="00AD587B">
                        <w:rPr>
                          <w:sz w:val="20"/>
                          <w:szCs w:val="20"/>
                        </w:rPr>
                        <w:t>Finalize the spherical coverage requirement for handheld UEs based on the contributions</w:t>
                      </w:r>
                    </w:p>
                  </w:txbxContent>
                </v:textbox>
                <w10:anchorlock/>
              </v:shape>
            </w:pict>
          </mc:Fallback>
        </mc:AlternateContent>
      </w:r>
      <w:r w:rsidR="0028298E">
        <w:br/>
      </w:r>
    </w:p>
    <w:p w:rsidR="00C54568" w:rsidRDefault="00AD587B" w:rsidP="00626850">
      <w:r>
        <w:t>A w</w:t>
      </w:r>
      <w:r w:rsidR="007D1E84">
        <w:t>ay forward on EIRP CDF analysis</w:t>
      </w:r>
      <w:r>
        <w:t xml:space="preserve"> was agree</w:t>
      </w:r>
      <w:r w:rsidR="00954E15">
        <w:t>d</w:t>
      </w:r>
      <w:r>
        <w:t xml:space="preserve"> in</w:t>
      </w:r>
      <w:r w:rsidR="007D1E84">
        <w:t xml:space="preserve"> </w:t>
      </w:r>
      <w:r w:rsidR="007D1E84">
        <w:fldChar w:fldCharType="begin"/>
      </w:r>
      <w:r w:rsidR="007D1E84">
        <w:instrText xml:space="preserve"> REF _Ref512674892 \r \h </w:instrText>
      </w:r>
      <w:r w:rsidR="007D1E84">
        <w:fldChar w:fldCharType="separate"/>
      </w:r>
      <w:r w:rsidR="006A63DA">
        <w:t>[4]</w:t>
      </w:r>
      <w:r w:rsidR="007D1E84">
        <w:fldChar w:fldCharType="end"/>
      </w:r>
      <w:r w:rsidR="007D1E84">
        <w:t>:</w:t>
      </w:r>
    </w:p>
    <w:p w:rsidR="008B7A37" w:rsidRDefault="008B7A37" w:rsidP="00626850"/>
    <w:p w:rsidR="00C54568" w:rsidRDefault="00C54568" w:rsidP="00C54568">
      <w:pPr>
        <w:rPr>
          <w:lang w:eastAsia="zh-CN"/>
        </w:rPr>
      </w:pPr>
      <w:r>
        <w:rPr>
          <w:noProof/>
          <w:lang w:eastAsia="zh-CN"/>
        </w:rPr>
        <w:lastRenderedPageBreak/>
        <mc:AlternateContent>
          <mc:Choice Requires="wps">
            <w:drawing>
              <wp:inline distT="0" distB="0" distL="0" distR="0" wp14:anchorId="0C06DF6F" wp14:editId="7EB66935">
                <wp:extent cx="6526530" cy="2595880"/>
                <wp:effectExtent l="0" t="0" r="13970" b="1524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26530" cy="2595880"/>
                        </a:xfrm>
                        <a:prstGeom prst="rect">
                          <a:avLst/>
                        </a:prstGeom>
                        <a:solidFill>
                          <a:srgbClr val="FFFFFF"/>
                        </a:solidFill>
                        <a:ln w="9525">
                          <a:solidFill>
                            <a:srgbClr val="000000"/>
                          </a:solidFill>
                          <a:miter lim="800000"/>
                          <a:headEnd/>
                          <a:tailEnd/>
                        </a:ln>
                      </wps:spPr>
                      <wps:txbx>
                        <w:txbxContent>
                          <w:p w:rsidR="001F38B3" w:rsidRPr="00AD587B" w:rsidRDefault="001F38B3" w:rsidP="00C54568">
                            <w:pPr>
                              <w:rPr>
                                <w:sz w:val="20"/>
                                <w:szCs w:val="20"/>
                                <w:lang w:eastAsia="zh-CN"/>
                              </w:rPr>
                            </w:pPr>
                            <w:r w:rsidRPr="00AD587B">
                              <w:rPr>
                                <w:sz w:val="20"/>
                                <w:szCs w:val="20"/>
                                <w:lang w:eastAsia="zh-CN"/>
                              </w:rPr>
                              <w:t>Way Forward</w:t>
                            </w:r>
                          </w:p>
                          <w:p w:rsidR="001F38B3" w:rsidRPr="00AD587B" w:rsidRDefault="001F38B3" w:rsidP="00E57B43">
                            <w:pPr>
                              <w:pStyle w:val="ListParagraph"/>
                              <w:numPr>
                                <w:ilvl w:val="0"/>
                                <w:numId w:val="8"/>
                              </w:numPr>
                              <w:rPr>
                                <w:sz w:val="20"/>
                                <w:szCs w:val="20"/>
                              </w:rPr>
                            </w:pPr>
                            <w:r w:rsidRPr="00AD587B">
                              <w:rPr>
                                <w:sz w:val="20"/>
                                <w:szCs w:val="20"/>
                              </w:rPr>
                              <w:t>As summarized in page 3, all contributions are considering the real-product UE aspect especially on cover material on EIRP CDF discussion</w:t>
                            </w:r>
                          </w:p>
                          <w:p w:rsidR="001F38B3" w:rsidRPr="00AD587B" w:rsidRDefault="001F38B3" w:rsidP="00E57B43">
                            <w:pPr>
                              <w:pStyle w:val="ListParagraph"/>
                              <w:numPr>
                                <w:ilvl w:val="0"/>
                                <w:numId w:val="8"/>
                              </w:numPr>
                              <w:rPr>
                                <w:sz w:val="20"/>
                                <w:szCs w:val="20"/>
                              </w:rPr>
                            </w:pPr>
                            <w:r w:rsidRPr="00AD587B">
                              <w:rPr>
                                <w:sz w:val="20"/>
                                <w:szCs w:val="20"/>
                              </w:rPr>
                              <w:t>Based on that, it should be considered that the restrictions of real product UE to decide the spherical coverage requirement</w:t>
                            </w:r>
                          </w:p>
                          <w:p w:rsidR="001F38B3" w:rsidRPr="00AD587B" w:rsidRDefault="001F38B3" w:rsidP="00E57B43">
                            <w:pPr>
                              <w:pStyle w:val="ListParagraph"/>
                              <w:numPr>
                                <w:ilvl w:val="0"/>
                                <w:numId w:val="8"/>
                              </w:numPr>
                              <w:rPr>
                                <w:sz w:val="20"/>
                                <w:szCs w:val="20"/>
                              </w:rPr>
                            </w:pPr>
                            <w:r w:rsidRPr="00AD587B">
                              <w:rPr>
                                <w:sz w:val="20"/>
                                <w:szCs w:val="20"/>
                              </w:rPr>
                              <w:t xml:space="preserve">In order to give a clear information to RAN4#86, companies are encouraged to submit their contribution focusing on following results to meet the workplan in page 2 </w:t>
                            </w:r>
                          </w:p>
                          <w:p w:rsidR="001F38B3" w:rsidRPr="00AD587B" w:rsidRDefault="001F38B3" w:rsidP="00E57B43">
                            <w:pPr>
                              <w:pStyle w:val="ListParagraph"/>
                              <w:numPr>
                                <w:ilvl w:val="1"/>
                                <w:numId w:val="8"/>
                              </w:numPr>
                              <w:rPr>
                                <w:sz w:val="20"/>
                                <w:szCs w:val="20"/>
                              </w:rPr>
                            </w:pPr>
                            <w:r w:rsidRPr="00AD587B">
                              <w:rPr>
                                <w:sz w:val="20"/>
                                <w:szCs w:val="20"/>
                              </w:rPr>
                              <w:t>Information of display and cover material near antennas should be included</w:t>
                            </w:r>
                          </w:p>
                          <w:p w:rsidR="001F38B3" w:rsidRPr="00AD587B" w:rsidRDefault="001F38B3" w:rsidP="00E57B43">
                            <w:pPr>
                              <w:pStyle w:val="ListParagraph"/>
                              <w:numPr>
                                <w:ilvl w:val="1"/>
                                <w:numId w:val="8"/>
                              </w:numPr>
                              <w:rPr>
                                <w:sz w:val="20"/>
                                <w:szCs w:val="20"/>
                              </w:rPr>
                            </w:pPr>
                            <w:r w:rsidRPr="00AD587B">
                              <w:rPr>
                                <w:sz w:val="20"/>
                                <w:szCs w:val="20"/>
                              </w:rPr>
                              <w:t>EIRP CDF Curve or EIRP loss at each %-tile point, [20-50%], from the peak in dB</w:t>
                            </w:r>
                          </w:p>
                          <w:p w:rsidR="001F38B3" w:rsidRPr="00AD587B" w:rsidRDefault="001F38B3" w:rsidP="00E57B43">
                            <w:pPr>
                              <w:pStyle w:val="ListParagraph"/>
                              <w:numPr>
                                <w:ilvl w:val="0"/>
                                <w:numId w:val="8"/>
                              </w:numPr>
                              <w:rPr>
                                <w:sz w:val="20"/>
                                <w:szCs w:val="20"/>
                              </w:rPr>
                            </w:pPr>
                            <w:r w:rsidRPr="00AD587B">
                              <w:rPr>
                                <w:sz w:val="20"/>
                                <w:szCs w:val="20"/>
                              </w:rPr>
                              <w:t>Other appropriate information are not precluded, i.e., measurement results for prototype devices. See the workplan</w:t>
                            </w:r>
                          </w:p>
                        </w:txbxContent>
                      </wps:txbx>
                      <wps:bodyPr rot="0" vert="horz" wrap="square" lIns="91440" tIns="45720" rIns="91440" bIns="45720" anchor="t" anchorCtr="0" upright="1">
                        <a:spAutoFit/>
                      </wps:bodyPr>
                    </wps:wsp>
                  </a:graphicData>
                </a:graphic>
              </wp:inline>
            </w:drawing>
          </mc:Choice>
          <mc:Fallback>
            <w:pict>
              <v:shape w14:anchorId="0C06DF6F" id="_x0000_s1027" type="#_x0000_t202" style="width:513.9pt;height:20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jhY/HgIAAEEEAAAOAAAAZHJzL2Uyb0RvYy54bWysU9uO0zAQfUfiHyy/07ShKW3UdAW7FCEt&#13;&#10;F2mXD5g4TmPhG7bbpHz9jp22lNsLwg+WxzM+M3POeH0zKEkO3HlhdEVnkyklXDPTCL2r6JfH7Ysl&#13;&#10;JT6AbkAazSt65J7ebJ4/W/e25LnpjGy4IwiifdnbinYh2DLLPOu4Aj8xlmt0tsYpCGi6XdY46BFd&#13;&#10;ySyfThdZb1xjnWHce7y9G510k/DblrPwqW09D0RWFGsLaXdpr+OebdZQ7hzYTrBTGfAPVSgQGpNe&#13;&#10;oO4gANk78RuUEswZb9owYUZlpm0F46kH7GY2/aWbhw4sT70gOd5eaPL/D5Z9PHx2RDQVnVOiQaFE&#13;&#10;j3wI5I0ZSB7Z6a0vMejBYlgY8BpVTp16e2/YV48h2VXM+MDH6Lr/YBrEg30w6cXQOhU5wq4JwqAc&#13;&#10;x4sEMSfDy0WRL4qX6GLoy4tVsVwmkTIoz8+t8+EdN4rEQ0Udapzg4XDvQywHynNIzOaNFM1WSJkM&#13;&#10;t6tvpSMHwHnYphWbxCc/hUlN+oquirwYW/0rxDStP0EoEXCwpVAVXV6CoOw4NG91gzmhDCDkeMb8&#13;&#10;Up+IjNyNLIahHpI0s7MQtWmOyKwz4xzjv8NDZ9x3Snqc4Yr6b3twnBL5XuOQrGbzeRz6ZMyLVzka&#13;&#10;7tpTX3tAM4SqaKBkPN6G8aPsrRO7DjOdhX+Nim5F4jpKP1Z1Kh/nNPF5+lPxI1zbKerHz988AQAA&#13;&#10;//8DAFBLAwQUAAYACAAAACEAXmiYNOAAAAALAQAADwAAAGRycy9kb3ducmV2LnhtbEyPzU7DMBCE&#13;&#10;70i8g7VI3KhNVEFI41T8KFwQCNJWXN1kSSLidbDdNrw9Wy5wGWk1mtn58uVkB7FHH3pHGi5nCgRS&#13;&#10;7ZqeWg3rVXmRggjRUGMGR6jhGwMsi9OT3GSNO9Ab7qvYCi6hkBkNXYxjJmWoO7QmzNyIxN6H89ZE&#13;&#10;Pn0rG28OXG4HmSh1Ja3piT90ZsT7DuvPamc13Lw/zaUq5Wu5eXxJ0jtfrb+ee63Pz6aHBcvtAkTE&#13;&#10;Kf4l4MjA+6HgYVu3oyaIQQPTxF89eiq5ZpithrlKU5BFLv8zFD8AAAD//wMAUEsBAi0AFAAGAAgA&#13;&#10;AAAhALaDOJL+AAAA4QEAABMAAAAAAAAAAAAAAAAAAAAAAFtDb250ZW50X1R5cGVzXS54bWxQSwEC&#13;&#10;LQAUAAYACAAAACEAOP0h/9YAAACUAQAACwAAAAAAAAAAAAAAAAAvAQAAX3JlbHMvLnJlbHNQSwEC&#13;&#10;LQAUAAYACAAAACEA5o4WPx4CAABBBAAADgAAAAAAAAAAAAAAAAAuAgAAZHJzL2Uyb0RvYy54bWxQ&#13;&#10;SwECLQAUAAYACAAAACEAXmiYNOAAAAALAQAADwAAAAAAAAAAAAAAAAB4BAAAZHJzL2Rvd25yZXYu&#13;&#10;eG1sUEsFBgAAAAAEAAQA8wAAAIUFAAAAAA==&#13;&#10;">
                <v:path arrowok="t"/>
                <v:textbox style="mso-fit-shape-to-text:t">
                  <w:txbxContent>
                    <w:p w:rsidR="001F38B3" w:rsidRPr="00AD587B" w:rsidRDefault="001F38B3" w:rsidP="00C54568">
                      <w:pPr>
                        <w:rPr>
                          <w:sz w:val="20"/>
                          <w:szCs w:val="20"/>
                          <w:lang w:eastAsia="zh-CN"/>
                        </w:rPr>
                      </w:pPr>
                      <w:r w:rsidRPr="00AD587B">
                        <w:rPr>
                          <w:sz w:val="20"/>
                          <w:szCs w:val="20"/>
                          <w:lang w:eastAsia="zh-CN"/>
                        </w:rPr>
                        <w:t>Way Forward</w:t>
                      </w:r>
                    </w:p>
                    <w:p w:rsidR="001F38B3" w:rsidRPr="00AD587B" w:rsidRDefault="001F38B3" w:rsidP="00E57B43">
                      <w:pPr>
                        <w:pStyle w:val="ListParagraph"/>
                        <w:numPr>
                          <w:ilvl w:val="0"/>
                          <w:numId w:val="8"/>
                        </w:numPr>
                        <w:rPr>
                          <w:sz w:val="20"/>
                          <w:szCs w:val="20"/>
                        </w:rPr>
                      </w:pPr>
                      <w:r w:rsidRPr="00AD587B">
                        <w:rPr>
                          <w:sz w:val="20"/>
                          <w:szCs w:val="20"/>
                        </w:rPr>
                        <w:t>As summarized in page 3, all contributions are considering the real-product UE aspect especially on cover material on EIRP CDF discussion</w:t>
                      </w:r>
                    </w:p>
                    <w:p w:rsidR="001F38B3" w:rsidRPr="00AD587B" w:rsidRDefault="001F38B3" w:rsidP="00E57B43">
                      <w:pPr>
                        <w:pStyle w:val="ListParagraph"/>
                        <w:numPr>
                          <w:ilvl w:val="0"/>
                          <w:numId w:val="8"/>
                        </w:numPr>
                        <w:rPr>
                          <w:sz w:val="20"/>
                          <w:szCs w:val="20"/>
                        </w:rPr>
                      </w:pPr>
                      <w:r w:rsidRPr="00AD587B">
                        <w:rPr>
                          <w:sz w:val="20"/>
                          <w:szCs w:val="20"/>
                        </w:rPr>
                        <w:t>Based on that, it should be considered that the restrictions of real product UE to decide the spherical coverage requirement</w:t>
                      </w:r>
                    </w:p>
                    <w:p w:rsidR="001F38B3" w:rsidRPr="00AD587B" w:rsidRDefault="001F38B3" w:rsidP="00E57B43">
                      <w:pPr>
                        <w:pStyle w:val="ListParagraph"/>
                        <w:numPr>
                          <w:ilvl w:val="0"/>
                          <w:numId w:val="8"/>
                        </w:numPr>
                        <w:rPr>
                          <w:sz w:val="20"/>
                          <w:szCs w:val="20"/>
                        </w:rPr>
                      </w:pPr>
                      <w:r w:rsidRPr="00AD587B">
                        <w:rPr>
                          <w:sz w:val="20"/>
                          <w:szCs w:val="20"/>
                        </w:rPr>
                        <w:t xml:space="preserve">In order to give a clear information to RAN4#86, companies are encouraged to submit their contribution focusing on following results to meet the workplan in page 2 </w:t>
                      </w:r>
                    </w:p>
                    <w:p w:rsidR="001F38B3" w:rsidRPr="00AD587B" w:rsidRDefault="001F38B3" w:rsidP="00E57B43">
                      <w:pPr>
                        <w:pStyle w:val="ListParagraph"/>
                        <w:numPr>
                          <w:ilvl w:val="1"/>
                          <w:numId w:val="8"/>
                        </w:numPr>
                        <w:rPr>
                          <w:sz w:val="20"/>
                          <w:szCs w:val="20"/>
                        </w:rPr>
                      </w:pPr>
                      <w:r w:rsidRPr="00AD587B">
                        <w:rPr>
                          <w:sz w:val="20"/>
                          <w:szCs w:val="20"/>
                        </w:rPr>
                        <w:t>Information of display and cover material near antennas should be included</w:t>
                      </w:r>
                    </w:p>
                    <w:p w:rsidR="001F38B3" w:rsidRPr="00AD587B" w:rsidRDefault="001F38B3" w:rsidP="00E57B43">
                      <w:pPr>
                        <w:pStyle w:val="ListParagraph"/>
                        <w:numPr>
                          <w:ilvl w:val="1"/>
                          <w:numId w:val="8"/>
                        </w:numPr>
                        <w:rPr>
                          <w:sz w:val="20"/>
                          <w:szCs w:val="20"/>
                        </w:rPr>
                      </w:pPr>
                      <w:r w:rsidRPr="00AD587B">
                        <w:rPr>
                          <w:sz w:val="20"/>
                          <w:szCs w:val="20"/>
                        </w:rPr>
                        <w:t>EIRP CDF Curve or EIRP loss at each %-tile point, [20-50%], from the peak in dB</w:t>
                      </w:r>
                    </w:p>
                    <w:p w:rsidR="001F38B3" w:rsidRPr="00AD587B" w:rsidRDefault="001F38B3" w:rsidP="00E57B43">
                      <w:pPr>
                        <w:pStyle w:val="ListParagraph"/>
                        <w:numPr>
                          <w:ilvl w:val="0"/>
                          <w:numId w:val="8"/>
                        </w:numPr>
                        <w:rPr>
                          <w:sz w:val="20"/>
                          <w:szCs w:val="20"/>
                        </w:rPr>
                      </w:pPr>
                      <w:r w:rsidRPr="00AD587B">
                        <w:rPr>
                          <w:sz w:val="20"/>
                          <w:szCs w:val="20"/>
                        </w:rPr>
                        <w:t>Other appropriate information are not precluded, i.e., measurement results for prototype devices. See the workplan</w:t>
                      </w:r>
                    </w:p>
                  </w:txbxContent>
                </v:textbox>
                <w10:anchorlock/>
              </v:shape>
            </w:pict>
          </mc:Fallback>
        </mc:AlternateContent>
      </w:r>
    </w:p>
    <w:p w:rsidR="00AD587B" w:rsidRDefault="00AD587B" w:rsidP="00C54568">
      <w:pPr>
        <w:rPr>
          <w:lang w:eastAsia="zh-CN"/>
        </w:rPr>
      </w:pPr>
    </w:p>
    <w:p w:rsidR="007D1E84" w:rsidRDefault="00AD587B" w:rsidP="00C54568">
      <w:pPr>
        <w:rPr>
          <w:lang w:eastAsia="zh-CN"/>
        </w:rPr>
      </w:pPr>
      <w:r>
        <w:rPr>
          <w:lang w:eastAsia="zh-CN"/>
        </w:rPr>
        <w:t>In the same document, t</w:t>
      </w:r>
      <w:r w:rsidR="007D1E84">
        <w:rPr>
          <w:lang w:eastAsia="zh-CN"/>
        </w:rPr>
        <w:t>he following simulation assumptions were agreed:</w:t>
      </w:r>
    </w:p>
    <w:p w:rsidR="00541679" w:rsidRDefault="00541679" w:rsidP="00C54568">
      <w:pPr>
        <w:rPr>
          <w:lang w:eastAsia="zh-CN"/>
        </w:rPr>
      </w:pPr>
    </w:p>
    <w:tbl>
      <w:tblPr>
        <w:tblW w:w="9283" w:type="dxa"/>
        <w:tblCellMar>
          <w:left w:w="0" w:type="dxa"/>
          <w:right w:w="0" w:type="dxa"/>
        </w:tblCellMar>
        <w:tblLook w:val="0600" w:firstRow="0" w:lastRow="0" w:firstColumn="0" w:lastColumn="0" w:noHBand="1" w:noVBand="1"/>
      </w:tblPr>
      <w:tblGrid>
        <w:gridCol w:w="2228"/>
        <w:gridCol w:w="665"/>
        <w:gridCol w:w="537"/>
        <w:gridCol w:w="537"/>
        <w:gridCol w:w="582"/>
        <w:gridCol w:w="582"/>
        <w:gridCol w:w="582"/>
        <w:gridCol w:w="590"/>
        <w:gridCol w:w="596"/>
        <w:gridCol w:w="2384"/>
      </w:tblGrid>
      <w:tr w:rsidR="007D1E84" w:rsidRPr="007D1E84" w:rsidTr="007D1E84">
        <w:trPr>
          <w:trHeight w:val="78"/>
        </w:trPr>
        <w:tc>
          <w:tcPr>
            <w:tcW w:w="2228"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c>
          <w:tcPr>
            <w:tcW w:w="665"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c>
          <w:tcPr>
            <w:tcW w:w="537"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A1</w:t>
            </w:r>
          </w:p>
        </w:tc>
        <w:tc>
          <w:tcPr>
            <w:tcW w:w="537"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A2</w:t>
            </w:r>
          </w:p>
        </w:tc>
        <w:tc>
          <w:tcPr>
            <w:tcW w:w="582"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A3</w:t>
            </w:r>
          </w:p>
        </w:tc>
        <w:tc>
          <w:tcPr>
            <w:tcW w:w="582"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A4</w:t>
            </w:r>
          </w:p>
        </w:tc>
        <w:tc>
          <w:tcPr>
            <w:tcW w:w="582"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A5</w:t>
            </w:r>
          </w:p>
        </w:tc>
        <w:tc>
          <w:tcPr>
            <w:tcW w:w="590"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A6</w:t>
            </w:r>
          </w:p>
        </w:tc>
        <w:tc>
          <w:tcPr>
            <w:tcW w:w="596" w:type="dxa"/>
            <w:tcBorders>
              <w:top w:val="single" w:sz="8" w:space="0" w:color="000000"/>
              <w:left w:val="single" w:sz="8" w:space="0" w:color="000000"/>
              <w:bottom w:val="single" w:sz="8" w:space="0" w:color="000000"/>
              <w:right w:val="single" w:sz="8" w:space="0" w:color="000000"/>
            </w:tcBorders>
            <w:shd w:val="clear" w:color="auto" w:fill="FDE9D9"/>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Pr>
                <w:rFonts w:ascii="Arial" w:hAnsi="Arial" w:cs="Arial"/>
                <w:b/>
                <w:bCs/>
                <w:sz w:val="16"/>
                <w:szCs w:val="16"/>
                <w:lang w:eastAsia="zh-CN"/>
              </w:rPr>
              <w:t>A7</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Notes</w:t>
            </w: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Frequency range</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n257</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n257</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n257</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n257</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541679" w:rsidP="000756C6">
            <w:pPr>
              <w:rPr>
                <w:rFonts w:ascii="Arial" w:hAnsi="Arial" w:cs="Arial"/>
                <w:sz w:val="16"/>
                <w:szCs w:val="16"/>
                <w:lang w:eastAsia="zh-CN"/>
              </w:rPr>
            </w:pPr>
            <w:r>
              <w:rPr>
                <w:rFonts w:ascii="Arial" w:hAnsi="Arial" w:cs="Arial"/>
                <w:sz w:val="16"/>
                <w:szCs w:val="16"/>
                <w:lang w:eastAsia="zh-CN"/>
              </w:rPr>
              <w:t>n</w:t>
            </w:r>
            <w:r w:rsidR="007D1E84" w:rsidRPr="007D1E84">
              <w:rPr>
                <w:rFonts w:ascii="Arial" w:hAnsi="Arial" w:cs="Arial"/>
                <w:sz w:val="16"/>
                <w:szCs w:val="16"/>
                <w:lang w:eastAsia="zh-CN"/>
              </w:rPr>
              <w:t>257</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n257</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541679" w:rsidP="000756C6">
            <w:pPr>
              <w:rPr>
                <w:rFonts w:ascii="Arial" w:hAnsi="Arial" w:cs="Arial"/>
                <w:sz w:val="16"/>
                <w:szCs w:val="16"/>
                <w:lang w:eastAsia="zh-CN"/>
              </w:rPr>
            </w:pPr>
            <w:r>
              <w:rPr>
                <w:rFonts w:ascii="Arial" w:hAnsi="Arial" w:cs="Arial"/>
                <w:sz w:val="16"/>
                <w:szCs w:val="16"/>
                <w:lang w:eastAsia="zh-CN"/>
              </w:rPr>
              <w:t>n</w:t>
            </w:r>
            <w:r w:rsidR="007D1E84" w:rsidRPr="007D1E84">
              <w:rPr>
                <w:rFonts w:ascii="Arial" w:hAnsi="Arial" w:cs="Arial"/>
                <w:sz w:val="16"/>
                <w:szCs w:val="16"/>
                <w:lang w:eastAsia="zh-CN"/>
              </w:rPr>
              <w:t>257</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r>
      <w:tr w:rsidR="007D1E84" w:rsidRPr="007D1E84" w:rsidTr="007D1E84">
        <w:trPr>
          <w:trHeight w:val="155"/>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 of antenna in an antenna module/set</w:t>
            </w:r>
            <w:r w:rsidRPr="007D1E84">
              <w:rPr>
                <w:rFonts w:ascii="Arial" w:hAnsi="Arial" w:cs="Arial"/>
                <w:b/>
                <w:bCs/>
                <w:sz w:val="16"/>
                <w:szCs w:val="16"/>
                <w:lang w:eastAsia="zh-CN"/>
              </w:rPr>
              <w:br/>
              <w:t>(# of patches, # of dipoles, etc.)</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Depends on the current implementation</w:t>
            </w: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 of antenna module/set in total</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2</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2</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2</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3</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3</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r>
      <w:tr w:rsidR="007D1E84" w:rsidRPr="007D1E84" w:rsidTr="007D1E84">
        <w:trPr>
          <w:trHeight w:val="155"/>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Finite UV test points</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Y/N</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Finite test point shall be the baseline</w:t>
            </w:r>
          </w:p>
        </w:tc>
      </w:tr>
      <w:tr w:rsidR="007D1E84" w:rsidRPr="007D1E84" w:rsidTr="007D1E84">
        <w:trPr>
          <w:trHeight w:val="140"/>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Beam phase shifter controller</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degree</w:t>
            </w: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45</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Finite beam shall be the baseline</w:t>
            </w:r>
          </w:p>
        </w:tc>
      </w:tr>
      <w:tr w:rsidR="007D1E84" w:rsidRPr="007D1E84" w:rsidTr="007D1E84">
        <w:trPr>
          <w:trHeight w:val="155"/>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Antenna type (patch, dipole, or both)</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Depends on the current implementation</w:t>
            </w:r>
          </w:p>
        </w:tc>
      </w:tr>
      <w:tr w:rsidR="007D1E84" w:rsidRPr="007D1E84" w:rsidTr="007D1E84">
        <w:trPr>
          <w:trHeight w:val="155"/>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Antenna module/set location (front, back, top-side, left-side, right-side, bottom-side)</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Top /</w:t>
            </w:r>
            <w:r w:rsidRPr="007D1E84">
              <w:rPr>
                <w:rFonts w:ascii="Arial" w:hAnsi="Arial" w:cs="Arial"/>
                <w:sz w:val="16"/>
                <w:szCs w:val="16"/>
                <w:lang w:eastAsia="zh-CN"/>
              </w:rPr>
              <w:br/>
              <w:t>Bottom</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Top /</w:t>
            </w:r>
            <w:r w:rsidRPr="007D1E84">
              <w:rPr>
                <w:rFonts w:ascii="Arial" w:hAnsi="Arial" w:cs="Arial"/>
                <w:sz w:val="16"/>
                <w:szCs w:val="16"/>
                <w:lang w:eastAsia="zh-CN"/>
              </w:rPr>
              <w:br/>
              <w:t>Bottom</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Top &amp;</w:t>
            </w:r>
            <w:r w:rsidRPr="007D1E84">
              <w:rPr>
                <w:rFonts w:ascii="Arial" w:hAnsi="Arial" w:cs="Arial"/>
                <w:sz w:val="16"/>
                <w:szCs w:val="16"/>
                <w:lang w:eastAsia="zh-CN"/>
              </w:rPr>
              <w:br/>
              <w:t>Bottom</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Top &amp;</w:t>
            </w:r>
            <w:r w:rsidRPr="007D1E84">
              <w:rPr>
                <w:rFonts w:ascii="Arial" w:hAnsi="Arial" w:cs="Arial"/>
                <w:sz w:val="16"/>
                <w:szCs w:val="16"/>
                <w:lang w:eastAsia="zh-CN"/>
              </w:rPr>
              <w:br/>
              <w:t>Bottom</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Top &amp;</w:t>
            </w:r>
            <w:r w:rsidRPr="007D1E84">
              <w:rPr>
                <w:rFonts w:ascii="Arial" w:hAnsi="Arial" w:cs="Arial"/>
                <w:sz w:val="16"/>
                <w:szCs w:val="16"/>
                <w:lang w:eastAsia="zh-CN"/>
              </w:rPr>
              <w:br/>
              <w:t>Bottom</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Left &amp;</w:t>
            </w:r>
            <w:r w:rsidRPr="007D1E84">
              <w:rPr>
                <w:rFonts w:ascii="Arial" w:hAnsi="Arial" w:cs="Arial"/>
                <w:sz w:val="16"/>
                <w:szCs w:val="16"/>
                <w:lang w:eastAsia="zh-CN"/>
              </w:rPr>
              <w:br/>
              <w:t>Right &amp;</w:t>
            </w:r>
            <w:r w:rsidRPr="007D1E84">
              <w:rPr>
                <w:rFonts w:ascii="Arial" w:hAnsi="Arial" w:cs="Arial"/>
                <w:sz w:val="16"/>
                <w:szCs w:val="16"/>
                <w:lang w:eastAsia="zh-CN"/>
              </w:rPr>
              <w:br/>
              <w:t>Bottom</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Left &amp;</w:t>
            </w:r>
            <w:r w:rsidRPr="007D1E84">
              <w:rPr>
                <w:rFonts w:ascii="Arial" w:hAnsi="Arial" w:cs="Arial"/>
                <w:sz w:val="16"/>
                <w:szCs w:val="16"/>
                <w:lang w:eastAsia="zh-CN"/>
              </w:rPr>
              <w:br/>
              <w:t>Right &amp;</w:t>
            </w:r>
            <w:r w:rsidRPr="007D1E84">
              <w:rPr>
                <w:rFonts w:ascii="Arial" w:hAnsi="Arial" w:cs="Arial"/>
                <w:sz w:val="16"/>
                <w:szCs w:val="16"/>
                <w:lang w:eastAsia="zh-CN"/>
              </w:rPr>
              <w:br/>
              <w:t>Bottom</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combination of the lists are not precluded.</w:t>
            </w: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Front cover (Plastic, Glass, Ceramic, Metal)</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238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 xml:space="preserve">This information is meaningful only if it’s the same with the material which covers antennas. </w:t>
            </w: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Back cover (Plastic, Glass, Ceramic, Metal)</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Glass</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2384" w:type="dxa"/>
            <w:vMerge/>
            <w:tcBorders>
              <w:top w:val="single" w:sz="8" w:space="0" w:color="000000"/>
              <w:left w:val="single" w:sz="8" w:space="0" w:color="000000"/>
              <w:bottom w:val="single" w:sz="8" w:space="0" w:color="000000"/>
              <w:right w:val="single" w:sz="8" w:space="0" w:color="000000"/>
            </w:tcBorders>
            <w:vAlign w:val="center"/>
            <w:hideMark/>
          </w:tcPr>
          <w:p w:rsidR="007D1E84" w:rsidRPr="007D1E84" w:rsidRDefault="007D1E84" w:rsidP="000756C6">
            <w:pPr>
              <w:rPr>
                <w:rFonts w:ascii="Arial" w:hAnsi="Arial" w:cs="Arial"/>
                <w:sz w:val="16"/>
                <w:szCs w:val="16"/>
                <w:lang w:eastAsia="zh-CN"/>
              </w:rPr>
            </w:pPr>
          </w:p>
        </w:tc>
      </w:tr>
      <w:tr w:rsidR="007D1E84" w:rsidRPr="007D1E84" w:rsidTr="007D1E84">
        <w:trPr>
          <w:trHeight w:val="279"/>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Side cover / Frame (Plastic, Glass, Ceramic, Metal)</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eastAsia="MS Mincho" w:hAnsi="Arial" w:cs="Arial"/>
                <w:sz w:val="16"/>
                <w:szCs w:val="16"/>
                <w:lang w:eastAsia="zh-CN"/>
              </w:rPr>
              <w:t xml:space="preserve">　</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Metal</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Metal</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Metal</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Metal</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Plastic</w:t>
            </w:r>
          </w:p>
        </w:tc>
        <w:tc>
          <w:tcPr>
            <w:tcW w:w="2384" w:type="dxa"/>
            <w:vMerge/>
            <w:tcBorders>
              <w:top w:val="single" w:sz="8" w:space="0" w:color="000000"/>
              <w:left w:val="single" w:sz="8" w:space="0" w:color="000000"/>
              <w:bottom w:val="single" w:sz="8" w:space="0" w:color="000000"/>
              <w:right w:val="single" w:sz="8" w:space="0" w:color="000000"/>
            </w:tcBorders>
            <w:vAlign w:val="center"/>
            <w:hideMark/>
          </w:tcPr>
          <w:p w:rsidR="007D1E84" w:rsidRPr="007D1E84" w:rsidRDefault="007D1E84" w:rsidP="000756C6">
            <w:pPr>
              <w:rPr>
                <w:rFonts w:ascii="Arial" w:hAnsi="Arial" w:cs="Arial"/>
                <w:sz w:val="16"/>
                <w:szCs w:val="16"/>
                <w:lang w:eastAsia="zh-CN"/>
              </w:rPr>
            </w:pP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Device size (WxHxD)</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cm3</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66.6</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This is for information</w:t>
            </w:r>
          </w:p>
        </w:tc>
      </w:tr>
      <w:tr w:rsidR="007D1E84" w:rsidRPr="007D1E84" w:rsidTr="007D1E84">
        <w:trPr>
          <w:trHeight w:val="78"/>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Display panel – Full (Y) or Partial (N)</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Y/N</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N</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Y</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p>
        </w:tc>
      </w:tr>
      <w:tr w:rsidR="007D1E84" w:rsidRPr="007D1E84" w:rsidTr="007D1E84">
        <w:trPr>
          <w:trHeight w:val="233"/>
        </w:trPr>
        <w:tc>
          <w:tcPr>
            <w:tcW w:w="2228" w:type="dxa"/>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b/>
                <w:bCs/>
                <w:sz w:val="16"/>
                <w:szCs w:val="16"/>
                <w:lang w:eastAsia="zh-CN"/>
              </w:rPr>
              <w:t>Bezel Margin</w:t>
            </w:r>
          </w:p>
        </w:tc>
        <w:tc>
          <w:tcPr>
            <w:tcW w:w="66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mm</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3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8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9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59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1.5</w:t>
            </w:r>
          </w:p>
        </w:tc>
        <w:tc>
          <w:tcPr>
            <w:tcW w:w="238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7D1E84" w:rsidRPr="007D1E84" w:rsidRDefault="007D1E84" w:rsidP="000756C6">
            <w:pPr>
              <w:rPr>
                <w:rFonts w:ascii="Arial" w:hAnsi="Arial" w:cs="Arial"/>
                <w:sz w:val="16"/>
                <w:szCs w:val="16"/>
                <w:lang w:eastAsia="zh-CN"/>
              </w:rPr>
            </w:pPr>
            <w:r w:rsidRPr="007D1E84">
              <w:rPr>
                <w:rFonts w:ascii="Arial" w:hAnsi="Arial" w:cs="Arial"/>
                <w:sz w:val="16"/>
                <w:szCs w:val="16"/>
                <w:lang w:eastAsia="zh-CN"/>
              </w:rPr>
              <w:t>Module can’t be placed outer edge of UE to secure mechanical reliability</w:t>
            </w:r>
          </w:p>
        </w:tc>
      </w:tr>
    </w:tbl>
    <w:p w:rsidR="007D1E84" w:rsidRDefault="007D1E84" w:rsidP="007D1E84"/>
    <w:p w:rsidR="00954E15" w:rsidRDefault="00954E15" w:rsidP="007D1E84">
      <w:r>
        <w:t xml:space="preserve">During the RAN4 #86bis meeting the following agreements related to the FR2 power class requirement for handheld UEs were captured in the UE RF Chairman’s notes </w:t>
      </w:r>
      <w:r>
        <w:fldChar w:fldCharType="begin"/>
      </w:r>
      <w:r>
        <w:instrText xml:space="preserve"> REF _Ref513533082 \r \h </w:instrText>
      </w:r>
      <w:r>
        <w:fldChar w:fldCharType="separate"/>
      </w:r>
      <w:r w:rsidR="006A63DA">
        <w:t>[5]</w:t>
      </w:r>
      <w:r>
        <w:fldChar w:fldCharType="end"/>
      </w:r>
      <w:r>
        <w:t>:</w:t>
      </w:r>
    </w:p>
    <w:p w:rsidR="00954E15" w:rsidRDefault="00954E15" w:rsidP="007D1E84"/>
    <w:p w:rsidR="00954E15" w:rsidRDefault="00954E15" w:rsidP="007D1E84">
      <w:r>
        <w:rPr>
          <w:noProof/>
          <w:lang w:eastAsia="zh-CN"/>
        </w:rPr>
        <mc:AlternateContent>
          <mc:Choice Requires="wps">
            <w:drawing>
              <wp:inline distT="0" distB="0" distL="0" distR="0" wp14:anchorId="5F5CE8D7" wp14:editId="0A5D7AFE">
                <wp:extent cx="6120765" cy="1497735"/>
                <wp:effectExtent l="0" t="0" r="13335" b="9525"/>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497735"/>
                        </a:xfrm>
                        <a:prstGeom prst="rect">
                          <a:avLst/>
                        </a:prstGeom>
                        <a:solidFill>
                          <a:srgbClr val="FFFFFF"/>
                        </a:solidFill>
                        <a:ln w="9525">
                          <a:solidFill>
                            <a:srgbClr val="000000"/>
                          </a:solidFill>
                          <a:miter lim="800000"/>
                          <a:headEnd/>
                          <a:tailEnd/>
                        </a:ln>
                      </wps:spPr>
                      <wps:txbx>
                        <w:txbxContent>
                          <w:p w:rsidR="001F38B3" w:rsidRPr="00AE2057" w:rsidRDefault="001F38B3" w:rsidP="00AE2057">
                            <w:pPr>
                              <w:rPr>
                                <w:sz w:val="20"/>
                                <w:szCs w:val="20"/>
                                <w:lang w:eastAsia="ja-JP"/>
                              </w:rPr>
                            </w:pPr>
                            <w:r w:rsidRPr="00AE2057">
                              <w:rPr>
                                <w:sz w:val="20"/>
                                <w:szCs w:val="20"/>
                                <w:highlight w:val="green"/>
                                <w:lang w:eastAsia="ja-JP"/>
                              </w:rPr>
                              <w:t>Agreement:</w:t>
                            </w:r>
                            <w:r w:rsidRPr="00AE2057">
                              <w:rPr>
                                <w:sz w:val="20"/>
                                <w:szCs w:val="20"/>
                                <w:lang w:eastAsia="ja-JP"/>
                              </w:rPr>
                              <w:t xml:space="preserve"> </w:t>
                            </w:r>
                          </w:p>
                          <w:p w:rsidR="001F38B3" w:rsidRPr="00AE2057" w:rsidRDefault="001F38B3" w:rsidP="00AE2057">
                            <w:pPr>
                              <w:numPr>
                                <w:ilvl w:val="0"/>
                                <w:numId w:val="8"/>
                              </w:numPr>
                              <w:overflowPunct w:val="0"/>
                              <w:autoSpaceDE w:val="0"/>
                              <w:autoSpaceDN w:val="0"/>
                              <w:adjustRightInd w:val="0"/>
                              <w:textAlignment w:val="baseline"/>
                              <w:rPr>
                                <w:sz w:val="20"/>
                                <w:szCs w:val="20"/>
                                <w:lang w:eastAsia="ja-JP"/>
                              </w:rPr>
                            </w:pPr>
                            <w:r w:rsidRPr="00AE2057">
                              <w:rPr>
                                <w:sz w:val="20"/>
                                <w:szCs w:val="20"/>
                                <w:lang w:eastAsia="ja-JP"/>
                              </w:rPr>
                              <w:t xml:space="preserve">For Rel-15 </w:t>
                            </w:r>
                          </w:p>
                          <w:p w:rsidR="001F38B3" w:rsidRPr="00AE2057" w:rsidRDefault="001F38B3" w:rsidP="00AE2057">
                            <w:pPr>
                              <w:numPr>
                                <w:ilvl w:val="1"/>
                                <w:numId w:val="8"/>
                              </w:numPr>
                              <w:overflowPunct w:val="0"/>
                              <w:autoSpaceDE w:val="0"/>
                              <w:autoSpaceDN w:val="0"/>
                              <w:adjustRightInd w:val="0"/>
                              <w:textAlignment w:val="baseline"/>
                              <w:rPr>
                                <w:sz w:val="20"/>
                                <w:szCs w:val="20"/>
                                <w:lang w:eastAsia="ja-JP"/>
                              </w:rPr>
                            </w:pPr>
                            <w:r w:rsidRPr="00AE2057">
                              <w:rPr>
                                <w:sz w:val="20"/>
                                <w:szCs w:val="20"/>
                                <w:lang w:eastAsia="ja-JP"/>
                              </w:rPr>
                              <w:t>For 28GHz</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Min peak EIRP is 22.4 dBm</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50%-tile requirement for EIRP CDF is FFS</w:t>
                            </w:r>
                          </w:p>
                          <w:p w:rsidR="001F38B3" w:rsidRPr="00AE2057" w:rsidRDefault="001F38B3" w:rsidP="00AE2057">
                            <w:pPr>
                              <w:numPr>
                                <w:ilvl w:val="1"/>
                                <w:numId w:val="8"/>
                              </w:numPr>
                              <w:overflowPunct w:val="0"/>
                              <w:autoSpaceDE w:val="0"/>
                              <w:autoSpaceDN w:val="0"/>
                              <w:adjustRightInd w:val="0"/>
                              <w:textAlignment w:val="baseline"/>
                              <w:rPr>
                                <w:sz w:val="20"/>
                                <w:szCs w:val="20"/>
                                <w:lang w:eastAsia="ja-JP"/>
                              </w:rPr>
                            </w:pPr>
                            <w:r w:rsidRPr="00AE2057">
                              <w:rPr>
                                <w:sz w:val="20"/>
                                <w:szCs w:val="20"/>
                                <w:lang w:eastAsia="ja-JP"/>
                              </w:rPr>
                              <w:t xml:space="preserve">For 39GHz </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Min peak EIRP is 20.6 dBm</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50%-tile requirement for EIRP CDF is FFS</w:t>
                            </w:r>
                          </w:p>
                          <w:p w:rsidR="001F38B3" w:rsidRPr="00AE2057" w:rsidRDefault="001F38B3" w:rsidP="00AE2057">
                            <w:pPr>
                              <w:pStyle w:val="ListParagraph"/>
                              <w:numPr>
                                <w:ilvl w:val="0"/>
                                <w:numId w:val="8"/>
                              </w:numPr>
                              <w:rPr>
                                <w:sz w:val="20"/>
                                <w:szCs w:val="20"/>
                              </w:rPr>
                            </w:pPr>
                            <w:r w:rsidRPr="00AE2057">
                              <w:rPr>
                                <w:rFonts w:hint="eastAsia"/>
                                <w:sz w:val="20"/>
                                <w:szCs w:val="20"/>
                              </w:rPr>
                              <w:t>N</w:t>
                            </w:r>
                            <w:r w:rsidRPr="00AE2057">
                              <w:rPr>
                                <w:sz w:val="20"/>
                                <w:szCs w:val="20"/>
                              </w:rPr>
                              <w:t>ote: for 50%-tile, the values are FFS.</w:t>
                            </w:r>
                          </w:p>
                        </w:txbxContent>
                      </wps:txbx>
                      <wps:bodyPr rot="0" vert="horz" wrap="square" lIns="91440" tIns="45720" rIns="91440" bIns="45720" anchor="t" anchorCtr="0" upright="1">
                        <a:spAutoFit/>
                      </wps:bodyPr>
                    </wps:wsp>
                  </a:graphicData>
                </a:graphic>
              </wp:inline>
            </w:drawing>
          </mc:Choice>
          <mc:Fallback>
            <w:pict>
              <v:shape w14:anchorId="5F5CE8D7" id="_x0000_s1028" type="#_x0000_t202" style="width:481.95pt;height:117.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qNbDHAIAAEEEAAAOAAAAZHJzL2Uyb0RvYy54bWysU9uO0zAQfUfiHyy/06Shl23UdAW7FCEt&#13;&#10;F2mXD5g4TmPhG7bbpHw9Y6ct5faC8IPl8Rwfz8yZWd8OSpIDd14YXdHpJKeEa2YaoXcV/fy0fXFD&#13;&#10;iQ+gG5BG84oeuae3m+fP1r0teWE6IxvuCJJoX/a2ol0ItswyzzquwE+M5RqdrXEKAppulzUOemRX&#13;&#10;MivyfJH1xjXWGca9x9v70Uk3ib9tOQsf29bzQGRFMbaQdpf2Ou7ZZg3lzoHtBDuFAf8QhQKh8dML&#13;&#10;1T0EIHsnfqNSgjnjTRsmzKjMtK1gPOWA2UzzX7J57MDylAsWx9tLmfz/o2UfDp8cEU1Fl5RoUCjR&#13;&#10;Ex8CeW0GUsTq9NaXCHq0CAsDXqPKKVNvHwz74hGSXWHGBz6i6/69aZAP9sGkF0PrVKwRZk2QBuU4&#13;&#10;XiSIfzK8XEyLfLmYU8LQN52tlsuX8xhGBuX5uXU+vOVGkXioqEONEz0cHnwYoWdI/M0bKZqtkDIZ&#13;&#10;blffSUcOgP2wTevE/hNMatJXdDUv5mOqf6XI0/oThRIBG1sKVdGbCwjKjkPzRjcYJpQBhBzPmJ3U&#13;&#10;p0LG2o1VDEM9JGkuQtSmOWJlnRn7GOcOD51x3yjpsYcr6r/uwXFK5DuNTbKazmax6ZMxmy8LNNy1&#13;&#10;p772gGZIVdFAyXi8C+Og7K0Tuw5/Ogv/ChXdilTrKP0Y1Sl87NOk1mmm4iBc2wn1Y/I33wEAAP//&#13;&#10;AwBQSwMEFAAGAAgAAAAhAMU4exLgAAAACgEAAA8AAABkcnMvZG93bnJldi54bWxMj81OwzAQhO9I&#13;&#10;vIO1SNyoQwpVk8ap+FG4IBCEIq5uvCQR8TrYbhvenoULXEZajWZ2vmI92UHs0YfekYLzWQICqXGm&#13;&#10;p1bB5qU6W4IIUZPRgyNU8IUB1uXxUaFz4w70jPs6toJLKORaQRfjmEsZmg6tDjM3IrH37rzVkU/f&#13;&#10;SuP1gcvtINMkWUire+IPnR7xpsPmo95ZBdnb/YVMKvlUvd49pstrX28+H3qlTk+m2xXL1QpExCn+&#13;&#10;JeCHgfdDycO2bkcmiEEB08RfZS9bzDMQWwXp/DIDWRbyP0L5DQAA//8DAFBLAQItABQABgAIAAAA&#13;&#10;IQC2gziS/gAAAOEBAAATAAAAAAAAAAAAAAAAAAAAAABbQ29udGVudF9UeXBlc10ueG1sUEsBAi0A&#13;&#10;FAAGAAgAAAAhADj9If/WAAAAlAEAAAsAAAAAAAAAAAAAAAAALwEAAF9yZWxzLy5yZWxzUEsBAi0A&#13;&#10;FAAGAAgAAAAhAKyo1sMcAgAAQQQAAA4AAAAAAAAAAAAAAAAALgIAAGRycy9lMm9Eb2MueG1sUEsB&#13;&#10;Ai0AFAAGAAgAAAAhAMU4exLgAAAACgEAAA8AAAAAAAAAAAAAAAAAdgQAAGRycy9kb3ducmV2Lnht&#13;&#10;bFBLBQYAAAAABAAEAPMAAACDBQAAAAA=&#13;&#10;">
                <v:path arrowok="t"/>
                <v:textbox style="mso-fit-shape-to-text:t">
                  <w:txbxContent>
                    <w:p w:rsidR="001F38B3" w:rsidRPr="00AE2057" w:rsidRDefault="001F38B3" w:rsidP="00AE2057">
                      <w:pPr>
                        <w:rPr>
                          <w:sz w:val="20"/>
                          <w:szCs w:val="20"/>
                          <w:lang w:eastAsia="ja-JP"/>
                        </w:rPr>
                      </w:pPr>
                      <w:r w:rsidRPr="00AE2057">
                        <w:rPr>
                          <w:sz w:val="20"/>
                          <w:szCs w:val="20"/>
                          <w:highlight w:val="green"/>
                          <w:lang w:eastAsia="ja-JP"/>
                        </w:rPr>
                        <w:t>Agreement:</w:t>
                      </w:r>
                      <w:r w:rsidRPr="00AE2057">
                        <w:rPr>
                          <w:sz w:val="20"/>
                          <w:szCs w:val="20"/>
                          <w:lang w:eastAsia="ja-JP"/>
                        </w:rPr>
                        <w:t xml:space="preserve"> </w:t>
                      </w:r>
                    </w:p>
                    <w:p w:rsidR="001F38B3" w:rsidRPr="00AE2057" w:rsidRDefault="001F38B3" w:rsidP="00AE2057">
                      <w:pPr>
                        <w:numPr>
                          <w:ilvl w:val="0"/>
                          <w:numId w:val="8"/>
                        </w:numPr>
                        <w:overflowPunct w:val="0"/>
                        <w:autoSpaceDE w:val="0"/>
                        <w:autoSpaceDN w:val="0"/>
                        <w:adjustRightInd w:val="0"/>
                        <w:textAlignment w:val="baseline"/>
                        <w:rPr>
                          <w:sz w:val="20"/>
                          <w:szCs w:val="20"/>
                          <w:lang w:eastAsia="ja-JP"/>
                        </w:rPr>
                      </w:pPr>
                      <w:r w:rsidRPr="00AE2057">
                        <w:rPr>
                          <w:sz w:val="20"/>
                          <w:szCs w:val="20"/>
                          <w:lang w:eastAsia="ja-JP"/>
                        </w:rPr>
                        <w:t xml:space="preserve">For Rel-15 </w:t>
                      </w:r>
                    </w:p>
                    <w:p w:rsidR="001F38B3" w:rsidRPr="00AE2057" w:rsidRDefault="001F38B3" w:rsidP="00AE2057">
                      <w:pPr>
                        <w:numPr>
                          <w:ilvl w:val="1"/>
                          <w:numId w:val="8"/>
                        </w:numPr>
                        <w:overflowPunct w:val="0"/>
                        <w:autoSpaceDE w:val="0"/>
                        <w:autoSpaceDN w:val="0"/>
                        <w:adjustRightInd w:val="0"/>
                        <w:textAlignment w:val="baseline"/>
                        <w:rPr>
                          <w:sz w:val="20"/>
                          <w:szCs w:val="20"/>
                          <w:lang w:eastAsia="ja-JP"/>
                        </w:rPr>
                      </w:pPr>
                      <w:r w:rsidRPr="00AE2057">
                        <w:rPr>
                          <w:sz w:val="20"/>
                          <w:szCs w:val="20"/>
                          <w:lang w:eastAsia="ja-JP"/>
                        </w:rPr>
                        <w:t>For 28GHz</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Min peak EIRP is 22.4 dBm</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50%-tile requirement for EIRP CDF is FFS</w:t>
                      </w:r>
                    </w:p>
                    <w:p w:rsidR="001F38B3" w:rsidRPr="00AE2057" w:rsidRDefault="001F38B3" w:rsidP="00AE2057">
                      <w:pPr>
                        <w:numPr>
                          <w:ilvl w:val="1"/>
                          <w:numId w:val="8"/>
                        </w:numPr>
                        <w:overflowPunct w:val="0"/>
                        <w:autoSpaceDE w:val="0"/>
                        <w:autoSpaceDN w:val="0"/>
                        <w:adjustRightInd w:val="0"/>
                        <w:textAlignment w:val="baseline"/>
                        <w:rPr>
                          <w:sz w:val="20"/>
                          <w:szCs w:val="20"/>
                          <w:lang w:eastAsia="ja-JP"/>
                        </w:rPr>
                      </w:pPr>
                      <w:r w:rsidRPr="00AE2057">
                        <w:rPr>
                          <w:sz w:val="20"/>
                          <w:szCs w:val="20"/>
                          <w:lang w:eastAsia="ja-JP"/>
                        </w:rPr>
                        <w:t xml:space="preserve">For 39GHz </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Min peak EIRP is 20.6 dBm</w:t>
                      </w:r>
                    </w:p>
                    <w:p w:rsidR="001F38B3" w:rsidRPr="00AE2057" w:rsidRDefault="001F38B3" w:rsidP="00AE2057">
                      <w:pPr>
                        <w:numPr>
                          <w:ilvl w:val="2"/>
                          <w:numId w:val="8"/>
                        </w:numPr>
                        <w:overflowPunct w:val="0"/>
                        <w:autoSpaceDE w:val="0"/>
                        <w:autoSpaceDN w:val="0"/>
                        <w:adjustRightInd w:val="0"/>
                        <w:textAlignment w:val="baseline"/>
                        <w:rPr>
                          <w:sz w:val="20"/>
                          <w:szCs w:val="20"/>
                          <w:lang w:eastAsia="ja-JP"/>
                        </w:rPr>
                      </w:pPr>
                      <w:r w:rsidRPr="00AE2057">
                        <w:rPr>
                          <w:sz w:val="20"/>
                          <w:szCs w:val="20"/>
                          <w:lang w:eastAsia="ja-JP"/>
                        </w:rPr>
                        <w:t>50%-tile requirement for EIRP CDF is FFS</w:t>
                      </w:r>
                    </w:p>
                    <w:p w:rsidR="001F38B3" w:rsidRPr="00AE2057" w:rsidRDefault="001F38B3" w:rsidP="00AE2057">
                      <w:pPr>
                        <w:pStyle w:val="ListParagraph"/>
                        <w:numPr>
                          <w:ilvl w:val="0"/>
                          <w:numId w:val="8"/>
                        </w:numPr>
                        <w:rPr>
                          <w:sz w:val="20"/>
                          <w:szCs w:val="20"/>
                        </w:rPr>
                      </w:pPr>
                      <w:r w:rsidRPr="00AE2057">
                        <w:rPr>
                          <w:rFonts w:hint="eastAsia"/>
                          <w:sz w:val="20"/>
                          <w:szCs w:val="20"/>
                        </w:rPr>
                        <w:t>N</w:t>
                      </w:r>
                      <w:r w:rsidRPr="00AE2057">
                        <w:rPr>
                          <w:sz w:val="20"/>
                          <w:szCs w:val="20"/>
                        </w:rPr>
                        <w:t>ote: for 50%-tile, the values are FFS.</w:t>
                      </w:r>
                    </w:p>
                  </w:txbxContent>
                </v:textbox>
                <w10:anchorlock/>
              </v:shape>
            </w:pict>
          </mc:Fallback>
        </mc:AlternateContent>
      </w:r>
    </w:p>
    <w:p w:rsidR="00AE2057" w:rsidRDefault="00AE2057" w:rsidP="007D1E84"/>
    <w:p w:rsidR="00AE2057" w:rsidRDefault="00AE2057" w:rsidP="007D1E84">
      <w:r>
        <w:t>Based on this agreement, this contribution focuses its analysis on the 50</w:t>
      </w:r>
      <w:r w:rsidRPr="00AE2057">
        <w:rPr>
          <w:vertAlign w:val="superscript"/>
        </w:rPr>
        <w:t>th</w:t>
      </w:r>
      <w:r>
        <w:t xml:space="preserve"> percentile of the EIRP CDF for handheld UEs operating in the 28 GHz and 39 GHz frequency ranges.</w:t>
      </w:r>
    </w:p>
    <w:p w:rsidR="0004778C" w:rsidRPr="0004778C" w:rsidRDefault="0028298E" w:rsidP="0004778C">
      <w:pPr>
        <w:pStyle w:val="Heading2"/>
      </w:pPr>
      <w:r>
        <w:lastRenderedPageBreak/>
        <w:t>Simulation results</w:t>
      </w:r>
    </w:p>
    <w:p w:rsidR="0028298E" w:rsidRDefault="001273CA" w:rsidP="001273CA">
      <w:pPr>
        <w:pStyle w:val="Heading3"/>
      </w:pPr>
      <w:r>
        <w:t>Model 1</w:t>
      </w:r>
    </w:p>
    <w:p w:rsidR="00DC049B" w:rsidRDefault="000756C6" w:rsidP="008303FD">
      <w:r>
        <w:t xml:space="preserve">A description of Model from </w:t>
      </w:r>
      <w:r>
        <w:fldChar w:fldCharType="begin"/>
      </w:r>
      <w:r>
        <w:instrText xml:space="preserve"> REF _Ref512770416 \r \h </w:instrText>
      </w:r>
      <w:r>
        <w:fldChar w:fldCharType="separate"/>
      </w:r>
      <w:r w:rsidR="006A63DA">
        <w:t>[6]</w:t>
      </w:r>
      <w:r>
        <w:fldChar w:fldCharType="end"/>
      </w:r>
      <w:r>
        <w:t xml:space="preserve"> is as follows:</w:t>
      </w:r>
    </w:p>
    <w:p w:rsidR="00DC049B" w:rsidRPr="00DC049B" w:rsidRDefault="00D16C64" w:rsidP="00DC049B">
      <w:pPr>
        <w:ind w:left="288"/>
        <w:rPr>
          <w:rFonts w:eastAsia="Batang"/>
          <w:i/>
        </w:rPr>
      </w:pPr>
      <w:r w:rsidRPr="00DC049B">
        <w:rPr>
          <w:rFonts w:eastAsia="Batang"/>
          <w:i/>
        </w:rPr>
        <w:t xml:space="preserve">[Model 1] </w:t>
      </w:r>
      <w:r w:rsidR="000756C6" w:rsidRPr="00DC049B">
        <w:rPr>
          <w:rFonts w:eastAsia="Batang"/>
          <w:i/>
        </w:rPr>
        <w:t>has a plastic frame and a conventional LCD/OLED display, which is smaller in area than the front glass</w:t>
      </w:r>
      <w:r w:rsidRPr="00DC049B">
        <w:rPr>
          <w:rFonts w:eastAsia="Batang"/>
          <w:i/>
        </w:rPr>
        <w:t>.</w:t>
      </w:r>
    </w:p>
    <w:p w:rsidR="00DC049B" w:rsidRDefault="00DC049B" w:rsidP="008303FD">
      <w:pPr>
        <w:rPr>
          <w:rFonts w:eastAsia="Batang"/>
        </w:rPr>
      </w:pPr>
    </w:p>
    <w:p w:rsidR="000756C6" w:rsidRDefault="00D16C64" w:rsidP="008303FD">
      <w:r>
        <w:rPr>
          <w:rFonts w:eastAsia="Batang"/>
        </w:rPr>
        <w:fldChar w:fldCharType="begin"/>
      </w:r>
      <w:r>
        <w:rPr>
          <w:rFonts w:eastAsia="Batang"/>
        </w:rPr>
        <w:instrText xml:space="preserve"> REF _Ref513456164 \h </w:instrText>
      </w:r>
      <w:r>
        <w:rPr>
          <w:rFonts w:eastAsia="Batang"/>
        </w:rPr>
      </w:r>
      <w:r>
        <w:rPr>
          <w:rFonts w:eastAsia="Batang"/>
        </w:rPr>
        <w:fldChar w:fldCharType="separate"/>
      </w:r>
      <w:r w:rsidR="006A63DA">
        <w:t xml:space="preserve">Figure </w:t>
      </w:r>
      <w:r w:rsidR="006A63DA">
        <w:rPr>
          <w:noProof/>
        </w:rPr>
        <w:t>1</w:t>
      </w:r>
      <w:r>
        <w:rPr>
          <w:rFonts w:eastAsia="Batang"/>
        </w:rPr>
        <w:fldChar w:fldCharType="end"/>
      </w:r>
      <w:r>
        <w:rPr>
          <w:rFonts w:eastAsia="Batang"/>
        </w:rPr>
        <w:t xml:space="preserve"> below illustrates the simulation parameters.</w:t>
      </w:r>
    </w:p>
    <w:p w:rsidR="000756C6" w:rsidRDefault="000756C6" w:rsidP="008303FD"/>
    <w:p w:rsidR="002C0400" w:rsidRDefault="00B71212" w:rsidP="002C0400">
      <w:pPr>
        <w:keepNext/>
        <w:jc w:val="center"/>
      </w:pPr>
      <w:r w:rsidRPr="00C31761">
        <w:rPr>
          <w:rFonts w:eastAsia="Batang"/>
          <w:noProof/>
        </w:rPr>
        <w:drawing>
          <wp:inline distT="0" distB="0" distL="0" distR="0" wp14:anchorId="261CB521" wp14:editId="365D8B8E">
            <wp:extent cx="4694245" cy="3041374"/>
            <wp:effectExtent l="0" t="0" r="508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4711271" cy="305240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rsidR="00B71212" w:rsidRDefault="002C0400" w:rsidP="00D16C64">
      <w:pPr>
        <w:pStyle w:val="Caption"/>
        <w:jc w:val="center"/>
      </w:pPr>
      <w:bookmarkStart w:id="2" w:name="_Ref513456164"/>
      <w:r>
        <w:t xml:space="preserve">Figure </w:t>
      </w:r>
      <w:fldSimple w:instr=" SEQ Figure \* ARABIC ">
        <w:r w:rsidR="006A63DA">
          <w:rPr>
            <w:noProof/>
          </w:rPr>
          <w:t>1</w:t>
        </w:r>
      </w:fldSimple>
      <w:bookmarkEnd w:id="2"/>
      <w:r>
        <w:t>: Model 1 parameters</w:t>
      </w:r>
    </w:p>
    <w:p w:rsidR="00D16C64" w:rsidRDefault="00D16C64" w:rsidP="008303FD"/>
    <w:p w:rsidR="00D16C64" w:rsidRDefault="00D16C64" w:rsidP="008303FD">
      <w:r>
        <w:t>We note the following observations about Model 1 results:</w:t>
      </w:r>
    </w:p>
    <w:p w:rsidR="00AD587B" w:rsidRDefault="00AD587B" w:rsidP="00D16C64">
      <w:pPr>
        <w:numPr>
          <w:ilvl w:val="0"/>
          <w:numId w:val="11"/>
        </w:numPr>
      </w:pPr>
      <w:r>
        <w:t>Simulated EIRP CDF results</w:t>
      </w:r>
      <w:r w:rsidR="00156B29">
        <w:t xml:space="preserve"> for Model 1</w:t>
      </w:r>
      <w:r>
        <w:t xml:space="preserve"> were provided in </w:t>
      </w:r>
      <w:r>
        <w:fldChar w:fldCharType="begin"/>
      </w:r>
      <w:r>
        <w:instrText xml:space="preserve"> REF _Ref512770416 \r \h </w:instrText>
      </w:r>
      <w:r>
        <w:fldChar w:fldCharType="separate"/>
      </w:r>
      <w:r w:rsidR="006A63DA">
        <w:t>[6]</w:t>
      </w:r>
      <w:r>
        <w:fldChar w:fldCharType="end"/>
      </w:r>
    </w:p>
    <w:p w:rsidR="00AD587B" w:rsidRDefault="00AD587B" w:rsidP="00D16C64">
      <w:pPr>
        <w:numPr>
          <w:ilvl w:val="0"/>
          <w:numId w:val="11"/>
        </w:numPr>
      </w:pPr>
      <w:r>
        <w:t>The result labeled as “Model 1 (L)” corresponds to Assumption 2 with partial display panel</w:t>
      </w:r>
    </w:p>
    <w:p w:rsidR="00AD587B" w:rsidRDefault="00AD587B" w:rsidP="00D16C64">
      <w:pPr>
        <w:numPr>
          <w:ilvl w:val="0"/>
          <w:numId w:val="11"/>
        </w:numPr>
      </w:pPr>
      <w:r>
        <w:t>The result labeled as “Model 1 (L+R+FR+BA)” corresponds to Assumption 7 with partial display panel</w:t>
      </w:r>
    </w:p>
    <w:p w:rsidR="00D16C64" w:rsidRDefault="00195082" w:rsidP="00D16C64">
      <w:pPr>
        <w:numPr>
          <w:ilvl w:val="0"/>
          <w:numId w:val="11"/>
        </w:numPr>
      </w:pPr>
      <w:r>
        <w:t xml:space="preserve">The screen of Model 1 does not cover the entire device and is not representative of </w:t>
      </w:r>
      <w:r w:rsidR="00156B29">
        <w:t>the expected design of</w:t>
      </w:r>
      <w:r>
        <w:t xml:space="preserve"> the handset </w:t>
      </w:r>
      <w:r w:rsidR="00156B29">
        <w:t>form factor</w:t>
      </w:r>
    </w:p>
    <w:p w:rsidR="00195082" w:rsidRDefault="00195082" w:rsidP="008303FD">
      <w:pPr>
        <w:numPr>
          <w:ilvl w:val="0"/>
          <w:numId w:val="11"/>
        </w:numPr>
      </w:pPr>
      <w:r>
        <w:t>Results for Model 1 were provided for comparative purposes and cannot be used to determine the spherical coverage requirement for FR2 handheld U</w:t>
      </w:r>
      <w:r w:rsidR="00D16C64">
        <w:t>E</w:t>
      </w:r>
      <w:r w:rsidR="00B316A1">
        <w:t>s</w:t>
      </w:r>
    </w:p>
    <w:p w:rsidR="00B316A1" w:rsidRDefault="00B316A1" w:rsidP="00B316A1"/>
    <w:p w:rsidR="00B316A1" w:rsidRDefault="00B316A1" w:rsidP="00B316A1">
      <w:r w:rsidRPr="00E268FA">
        <w:rPr>
          <w:b/>
        </w:rPr>
        <w:t>Observation 1</w:t>
      </w:r>
      <w:r>
        <w:t xml:space="preserve">: </w:t>
      </w:r>
      <w:r w:rsidR="00E268FA">
        <w:t>Because Model 1 implements a partial display panel and represents a result for comparative purposes only, Model 1 results cannot be used to determine the spherical coverage requirement for FR2 handheld UEs</w:t>
      </w:r>
      <w:r w:rsidR="008B7A37">
        <w:t>.</w:t>
      </w:r>
    </w:p>
    <w:p w:rsidR="001273CA" w:rsidRDefault="001273CA" w:rsidP="001273CA">
      <w:pPr>
        <w:pStyle w:val="Heading3"/>
      </w:pPr>
      <w:r>
        <w:t>Model 2</w:t>
      </w:r>
    </w:p>
    <w:p w:rsidR="00636D5C" w:rsidRPr="00636D5C" w:rsidRDefault="00636D5C" w:rsidP="001273CA">
      <w:pPr>
        <w:rPr>
          <w:lang w:eastAsia="ja-JP" w:bidi="hi-IN"/>
        </w:rPr>
      </w:pPr>
      <w:r>
        <w:rPr>
          <w:lang w:eastAsia="ja-JP" w:bidi="hi-IN"/>
        </w:rPr>
        <w:t xml:space="preserve">A description of Model 2 from </w:t>
      </w:r>
      <w:r>
        <w:rPr>
          <w:lang w:eastAsia="ja-JP" w:bidi="hi-IN"/>
        </w:rPr>
        <w:fldChar w:fldCharType="begin"/>
      </w:r>
      <w:r>
        <w:rPr>
          <w:lang w:eastAsia="ja-JP" w:bidi="hi-IN"/>
        </w:rPr>
        <w:instrText xml:space="preserve"> REF _Ref512770416 \r \h </w:instrText>
      </w:r>
      <w:r>
        <w:rPr>
          <w:lang w:eastAsia="ja-JP" w:bidi="hi-IN"/>
        </w:rPr>
      </w:r>
      <w:r>
        <w:rPr>
          <w:lang w:eastAsia="ja-JP" w:bidi="hi-IN"/>
        </w:rPr>
        <w:fldChar w:fldCharType="separate"/>
      </w:r>
      <w:r w:rsidR="006A63DA">
        <w:rPr>
          <w:lang w:eastAsia="ja-JP" w:bidi="hi-IN"/>
        </w:rPr>
        <w:t>[6]</w:t>
      </w:r>
      <w:r>
        <w:rPr>
          <w:lang w:eastAsia="ja-JP" w:bidi="hi-IN"/>
        </w:rPr>
        <w:fldChar w:fldCharType="end"/>
      </w:r>
      <w:r>
        <w:rPr>
          <w:lang w:eastAsia="ja-JP" w:bidi="hi-IN"/>
        </w:rPr>
        <w:t xml:space="preserve"> is as follows:</w:t>
      </w:r>
    </w:p>
    <w:p w:rsidR="00636D5C" w:rsidRPr="00A92DBC" w:rsidRDefault="00636D5C" w:rsidP="00636D5C">
      <w:pPr>
        <w:ind w:left="288"/>
        <w:rPr>
          <w:rFonts w:eastAsia="Batang"/>
          <w:i/>
        </w:rPr>
      </w:pPr>
      <w:r w:rsidRPr="00A92DBC">
        <w:rPr>
          <w:rFonts w:eastAsia="Batang"/>
          <w:i/>
        </w:rPr>
        <w:t xml:space="preserve">Two patch arrays are used in this model, both radiating towards the back since radiation toward the front is severely attenuated by the multiple layers of metal in the display. One of the arrays is placed to top the right (Array B) while the second array is placed on the side of the phone (Array A). … [Model 1 and Model 2] designs are not practical as they employ volume for mm-wave radiation that is currently used for something else (battery, board, sensors, cameras, etc.).  </w:t>
      </w:r>
    </w:p>
    <w:p w:rsidR="00636D5C" w:rsidRDefault="00636D5C" w:rsidP="00636D5C">
      <w:pPr>
        <w:rPr>
          <w:rFonts w:eastAsia="Batang"/>
        </w:rPr>
      </w:pPr>
    </w:p>
    <w:p w:rsidR="00636D5C" w:rsidRDefault="00E10CDA" w:rsidP="00636D5C">
      <w:pPr>
        <w:rPr>
          <w:lang w:eastAsia="ja-JP" w:bidi="hi-IN"/>
        </w:rPr>
      </w:pPr>
      <w:r>
        <w:rPr>
          <w:rFonts w:eastAsia="Batang"/>
        </w:rPr>
        <w:fldChar w:fldCharType="begin"/>
      </w:r>
      <w:r>
        <w:rPr>
          <w:rFonts w:eastAsia="Batang"/>
        </w:rPr>
        <w:instrText xml:space="preserve"> REF _Ref513448925 \h </w:instrText>
      </w:r>
      <w:r>
        <w:rPr>
          <w:rFonts w:eastAsia="Batang"/>
        </w:rPr>
      </w:r>
      <w:r>
        <w:rPr>
          <w:rFonts w:eastAsia="Batang"/>
        </w:rPr>
        <w:fldChar w:fldCharType="separate"/>
      </w:r>
      <w:r w:rsidR="006A63DA">
        <w:t xml:space="preserve">Figure </w:t>
      </w:r>
      <w:r w:rsidR="006A63DA">
        <w:rPr>
          <w:noProof/>
        </w:rPr>
        <w:t>2</w:t>
      </w:r>
      <w:r>
        <w:rPr>
          <w:rFonts w:eastAsia="Batang"/>
        </w:rPr>
        <w:fldChar w:fldCharType="end"/>
      </w:r>
      <w:r>
        <w:rPr>
          <w:rFonts w:eastAsia="Batang"/>
        </w:rPr>
        <w:t xml:space="preserve"> </w:t>
      </w:r>
      <w:r w:rsidR="00636D5C">
        <w:rPr>
          <w:rFonts w:eastAsia="Batang"/>
        </w:rPr>
        <w:t>below illustrates the simulation parameters.</w:t>
      </w:r>
    </w:p>
    <w:p w:rsidR="002C0400" w:rsidRDefault="00B71212" w:rsidP="002C0400">
      <w:pPr>
        <w:keepNext/>
        <w:jc w:val="center"/>
      </w:pPr>
      <w:r w:rsidRPr="007D41D1">
        <w:rPr>
          <w:rFonts w:eastAsia="Batang"/>
          <w:noProof/>
        </w:rPr>
        <w:drawing>
          <wp:inline distT="0" distB="0" distL="0" distR="0" wp14:anchorId="46B1484B" wp14:editId="1A2F4695">
            <wp:extent cx="3904452" cy="3261336"/>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3929077" cy="3281905"/>
                    </a:xfrm>
                    <a:prstGeom prst="rect">
                      <a:avLst/>
                    </a:prstGeom>
                  </pic:spPr>
                </pic:pic>
              </a:graphicData>
            </a:graphic>
          </wp:inline>
        </w:drawing>
      </w:r>
    </w:p>
    <w:p w:rsidR="00B71212" w:rsidRDefault="002C0400" w:rsidP="002C0400">
      <w:pPr>
        <w:pStyle w:val="Caption"/>
        <w:jc w:val="center"/>
        <w:rPr>
          <w:lang w:eastAsia="ja-JP" w:bidi="hi-IN"/>
        </w:rPr>
      </w:pPr>
      <w:bookmarkStart w:id="3" w:name="_Ref513448925"/>
      <w:r>
        <w:t xml:space="preserve">Figure </w:t>
      </w:r>
      <w:fldSimple w:instr=" SEQ Figure \* ARABIC ">
        <w:r w:rsidR="006A63DA">
          <w:rPr>
            <w:noProof/>
          </w:rPr>
          <w:t>2</w:t>
        </w:r>
      </w:fldSimple>
      <w:bookmarkEnd w:id="3"/>
      <w:r>
        <w:t>: Model 2 parameters</w:t>
      </w:r>
    </w:p>
    <w:p w:rsidR="0016432F" w:rsidRDefault="0016432F" w:rsidP="001273CA">
      <w:pPr>
        <w:rPr>
          <w:lang w:eastAsia="ja-JP" w:bidi="hi-IN"/>
        </w:rPr>
      </w:pPr>
    </w:p>
    <w:p w:rsidR="00064224" w:rsidRPr="00064224" w:rsidRDefault="00C17A44" w:rsidP="00064224">
      <w:pPr>
        <w:rPr>
          <w:lang w:eastAsia="ja-JP" w:bidi="hi-IN"/>
        </w:rPr>
      </w:pPr>
      <w:r>
        <w:rPr>
          <w:lang w:eastAsia="ja-JP" w:bidi="hi-IN"/>
        </w:rPr>
        <w:t xml:space="preserve">Since the publication of </w:t>
      </w:r>
      <w:r>
        <w:rPr>
          <w:lang w:eastAsia="ja-JP" w:bidi="hi-IN"/>
        </w:rPr>
        <w:fldChar w:fldCharType="begin"/>
      </w:r>
      <w:r>
        <w:rPr>
          <w:lang w:eastAsia="ja-JP" w:bidi="hi-IN"/>
        </w:rPr>
        <w:instrText xml:space="preserve"> REF _Ref512770416 \r \h </w:instrText>
      </w:r>
      <w:r>
        <w:rPr>
          <w:lang w:eastAsia="ja-JP" w:bidi="hi-IN"/>
        </w:rPr>
      </w:r>
      <w:r>
        <w:rPr>
          <w:lang w:eastAsia="ja-JP" w:bidi="hi-IN"/>
        </w:rPr>
        <w:fldChar w:fldCharType="separate"/>
      </w:r>
      <w:r w:rsidR="006A63DA">
        <w:rPr>
          <w:lang w:eastAsia="ja-JP" w:bidi="hi-IN"/>
        </w:rPr>
        <w:t>[6]</w:t>
      </w:r>
      <w:r>
        <w:rPr>
          <w:lang w:eastAsia="ja-JP" w:bidi="hi-IN"/>
        </w:rPr>
        <w:fldChar w:fldCharType="end"/>
      </w:r>
      <w:r>
        <w:rPr>
          <w:lang w:eastAsia="ja-JP" w:bidi="hi-IN"/>
        </w:rPr>
        <w:t>, the definition of the Tx beam peak direction has been finalized in TS38.101-2</w:t>
      </w:r>
      <w:r w:rsidR="00DC6A90">
        <w:rPr>
          <w:lang w:eastAsia="ja-JP" w:bidi="hi-IN"/>
        </w:rPr>
        <w:t xml:space="preserve"> </w:t>
      </w:r>
      <w:r w:rsidR="00DC6A90">
        <w:rPr>
          <w:lang w:eastAsia="ja-JP" w:bidi="hi-IN"/>
        </w:rPr>
        <w:fldChar w:fldCharType="begin"/>
      </w:r>
      <w:r w:rsidR="00DC6A90">
        <w:rPr>
          <w:lang w:eastAsia="ja-JP" w:bidi="hi-IN"/>
        </w:rPr>
        <w:instrText xml:space="preserve"> REF _Ref513617775 \r \h </w:instrText>
      </w:r>
      <w:r w:rsidR="00DC6A90">
        <w:rPr>
          <w:lang w:eastAsia="ja-JP" w:bidi="hi-IN"/>
        </w:rPr>
      </w:r>
      <w:r w:rsidR="00DC6A90">
        <w:rPr>
          <w:lang w:eastAsia="ja-JP" w:bidi="hi-IN"/>
        </w:rPr>
        <w:fldChar w:fldCharType="separate"/>
      </w:r>
      <w:r w:rsidR="006A63DA">
        <w:rPr>
          <w:lang w:eastAsia="ja-JP" w:bidi="hi-IN"/>
        </w:rPr>
        <w:t>[2]</w:t>
      </w:r>
      <w:r w:rsidR="00DC6A90">
        <w:rPr>
          <w:lang w:eastAsia="ja-JP" w:bidi="hi-IN"/>
        </w:rPr>
        <w:fldChar w:fldCharType="end"/>
      </w:r>
      <w:r>
        <w:rPr>
          <w:lang w:eastAsia="ja-JP" w:bidi="hi-IN"/>
        </w:rPr>
        <w:t xml:space="preserve">.  </w:t>
      </w:r>
      <w:r w:rsidR="00064224">
        <w:rPr>
          <w:lang w:eastAsia="ja-JP" w:bidi="hi-IN"/>
        </w:rPr>
        <w:t>T</w:t>
      </w:r>
      <w:r w:rsidR="00064224" w:rsidRPr="00064224">
        <w:rPr>
          <w:lang w:eastAsia="ja-JP" w:bidi="hi-IN"/>
        </w:rPr>
        <w:t>he Tx beam peak direction is the direction where the maximum total component of EIRP is found</w:t>
      </w:r>
      <w:r>
        <w:rPr>
          <w:lang w:eastAsia="ja-JP" w:bidi="hi-IN"/>
        </w:rPr>
        <w:t>.</w:t>
      </w:r>
      <w:r w:rsidR="00064224" w:rsidRPr="00064224">
        <w:rPr>
          <w:lang w:eastAsia="ja-JP" w:bidi="hi-IN"/>
        </w:rPr>
        <w:t xml:space="preserve">  Thus, the spherical coverage CDF of a UE corresponds to the distribution of the total component of EIRPs over the full sphere.</w:t>
      </w:r>
    </w:p>
    <w:p w:rsidR="00064224" w:rsidRPr="00064224" w:rsidRDefault="00064224" w:rsidP="00064224">
      <w:pPr>
        <w:rPr>
          <w:lang w:eastAsia="ja-JP" w:bidi="hi-IN"/>
        </w:rPr>
      </w:pPr>
    </w:p>
    <w:p w:rsidR="00064224" w:rsidRPr="00064224" w:rsidRDefault="00064224" w:rsidP="00064224">
      <w:pPr>
        <w:rPr>
          <w:lang w:eastAsia="ja-JP" w:bidi="hi-IN"/>
        </w:rPr>
      </w:pPr>
      <w:r w:rsidRPr="00064224">
        <w:rPr>
          <w:lang w:eastAsia="ja-JP" w:bidi="hi-IN"/>
        </w:rPr>
        <w:t xml:space="preserve">If we consider a UE with a single antenna array, then the simulation and analysis procedure to match this measurement assumption </w:t>
      </w:r>
      <w:r>
        <w:rPr>
          <w:lang w:eastAsia="ja-JP" w:bidi="hi-IN"/>
        </w:rPr>
        <w:t>is</w:t>
      </w:r>
      <w:r w:rsidRPr="00064224">
        <w:rPr>
          <w:lang w:eastAsia="ja-JP" w:bidi="hi-IN"/>
        </w:rPr>
        <w:t>:</w:t>
      </w:r>
    </w:p>
    <w:p w:rsidR="00064224" w:rsidRPr="00064224" w:rsidRDefault="00064224" w:rsidP="00064224">
      <w:pPr>
        <w:rPr>
          <w:lang w:eastAsia="ja-JP" w:bidi="hi-IN"/>
        </w:rPr>
      </w:pPr>
      <w:r w:rsidRPr="00064224">
        <w:rPr>
          <w:lang w:eastAsia="ja-JP" w:bidi="hi-IN"/>
        </w:rPr>
        <w:t xml:space="preserve">1. Simulate </w:t>
      </w:r>
      <w:r w:rsidR="00B31F6B">
        <w:rPr>
          <w:lang w:eastAsia="ja-JP" w:bidi="hi-IN"/>
        </w:rPr>
        <w:t>the vertical</w:t>
      </w:r>
      <w:r w:rsidRPr="00064224">
        <w:rPr>
          <w:lang w:eastAsia="ja-JP" w:bidi="hi-IN"/>
        </w:rPr>
        <w:t xml:space="preserve"> and </w:t>
      </w:r>
      <w:r w:rsidR="00B31F6B">
        <w:rPr>
          <w:lang w:eastAsia="ja-JP" w:bidi="hi-IN"/>
        </w:rPr>
        <w:t>horizontal</w:t>
      </w:r>
      <w:r w:rsidRPr="00064224">
        <w:rPr>
          <w:lang w:eastAsia="ja-JP" w:bidi="hi-IN"/>
        </w:rPr>
        <w:t xml:space="preserve"> polarization patterns of the array</w:t>
      </w:r>
    </w:p>
    <w:p w:rsidR="00064224" w:rsidRPr="00064224" w:rsidRDefault="00064224" w:rsidP="00064224">
      <w:pPr>
        <w:rPr>
          <w:lang w:eastAsia="ja-JP" w:bidi="hi-IN"/>
        </w:rPr>
      </w:pPr>
      <w:r w:rsidRPr="00064224">
        <w:rPr>
          <w:lang w:eastAsia="ja-JP" w:bidi="hi-IN"/>
        </w:rPr>
        <w:t xml:space="preserve">2. For each </w:t>
      </w:r>
      <w:r w:rsidR="00B31F6B">
        <w:rPr>
          <w:lang w:eastAsia="ja-JP" w:bidi="hi-IN"/>
        </w:rPr>
        <w:t>EIRP CDF test direction</w:t>
      </w:r>
      <w:r w:rsidRPr="00064224">
        <w:rPr>
          <w:lang w:eastAsia="ja-JP" w:bidi="hi-IN"/>
        </w:rPr>
        <w:t xml:space="preserve"> calculate the total component of EIRP</w:t>
      </w:r>
    </w:p>
    <w:p w:rsidR="00064224" w:rsidRPr="00064224" w:rsidRDefault="00064224" w:rsidP="00064224">
      <w:pPr>
        <w:rPr>
          <w:lang w:eastAsia="ja-JP" w:bidi="hi-IN"/>
        </w:rPr>
      </w:pPr>
      <w:r w:rsidRPr="00064224">
        <w:rPr>
          <w:lang w:eastAsia="ja-JP" w:bidi="hi-IN"/>
        </w:rPr>
        <w:t>3. Create the CDF (depending on the measurement grid, a theta correction may be needed</w:t>
      </w:r>
      <w:r>
        <w:rPr>
          <w:lang w:eastAsia="ja-JP" w:bidi="hi-IN"/>
        </w:rPr>
        <w:t xml:space="preserve">, as described in </w:t>
      </w:r>
      <w:r>
        <w:rPr>
          <w:lang w:eastAsia="ja-JP" w:bidi="hi-IN"/>
        </w:rPr>
        <w:fldChar w:fldCharType="begin"/>
      </w:r>
      <w:r>
        <w:rPr>
          <w:lang w:eastAsia="ja-JP" w:bidi="hi-IN"/>
        </w:rPr>
        <w:instrText xml:space="preserve"> REF _Ref513458910 \r \h </w:instrText>
      </w:r>
      <w:r>
        <w:rPr>
          <w:lang w:eastAsia="ja-JP" w:bidi="hi-IN"/>
        </w:rPr>
      </w:r>
      <w:r>
        <w:rPr>
          <w:lang w:eastAsia="ja-JP" w:bidi="hi-IN"/>
        </w:rPr>
        <w:fldChar w:fldCharType="separate"/>
      </w:r>
      <w:r w:rsidR="006A63DA">
        <w:rPr>
          <w:lang w:eastAsia="ja-JP" w:bidi="hi-IN"/>
        </w:rPr>
        <w:t>[8]</w:t>
      </w:r>
      <w:r>
        <w:rPr>
          <w:lang w:eastAsia="ja-JP" w:bidi="hi-IN"/>
        </w:rPr>
        <w:fldChar w:fldCharType="end"/>
      </w:r>
      <w:r w:rsidRPr="00064224">
        <w:rPr>
          <w:lang w:eastAsia="ja-JP" w:bidi="hi-IN"/>
        </w:rPr>
        <w:t>)</w:t>
      </w:r>
    </w:p>
    <w:p w:rsidR="00064224" w:rsidRPr="00064224" w:rsidRDefault="00064224" w:rsidP="00064224">
      <w:pPr>
        <w:rPr>
          <w:lang w:eastAsia="ja-JP" w:bidi="hi-IN"/>
        </w:rPr>
      </w:pPr>
    </w:p>
    <w:p w:rsidR="00064224" w:rsidRPr="00064224" w:rsidRDefault="00064224" w:rsidP="00064224">
      <w:pPr>
        <w:rPr>
          <w:lang w:eastAsia="ja-JP" w:bidi="hi-IN"/>
        </w:rPr>
      </w:pPr>
      <w:r w:rsidRPr="00064224">
        <w:rPr>
          <w:lang w:eastAsia="ja-JP" w:bidi="hi-IN"/>
        </w:rPr>
        <w:t>If we consider a UE with two antenna arrays, then for each EIRP CDF test direction, the UE will have an opportunity to update its Tx beam (either by re-acquiring the SS block or by performing a beam update based on CSI-RS; exact procedure may depend on test case definition and test equipment implementation).  </w:t>
      </w:r>
      <w:r w:rsidR="00D6157E">
        <w:rPr>
          <w:lang w:eastAsia="ja-JP" w:bidi="hi-IN"/>
        </w:rPr>
        <w:t>T</w:t>
      </w:r>
      <w:r w:rsidRPr="00064224">
        <w:rPr>
          <w:lang w:eastAsia="ja-JP" w:bidi="hi-IN"/>
        </w:rPr>
        <w:t xml:space="preserve">hen the simulation and analysis procedure </w:t>
      </w:r>
      <w:r>
        <w:rPr>
          <w:lang w:eastAsia="ja-JP" w:bidi="hi-IN"/>
        </w:rPr>
        <w:t>is</w:t>
      </w:r>
      <w:r w:rsidRPr="00064224">
        <w:rPr>
          <w:lang w:eastAsia="ja-JP" w:bidi="hi-IN"/>
        </w:rPr>
        <w:t>:</w:t>
      </w:r>
    </w:p>
    <w:p w:rsidR="00064224" w:rsidRPr="00064224" w:rsidRDefault="00064224" w:rsidP="00064224">
      <w:pPr>
        <w:rPr>
          <w:lang w:eastAsia="ja-JP" w:bidi="hi-IN"/>
        </w:rPr>
      </w:pPr>
      <w:r w:rsidRPr="00064224">
        <w:rPr>
          <w:lang w:eastAsia="ja-JP" w:bidi="hi-IN"/>
        </w:rPr>
        <w:t xml:space="preserve">1. Simulate </w:t>
      </w:r>
      <w:r w:rsidR="00B31F6B">
        <w:rPr>
          <w:lang w:eastAsia="ja-JP" w:bidi="hi-IN"/>
        </w:rPr>
        <w:t>the vertical</w:t>
      </w:r>
      <w:r w:rsidRPr="00064224">
        <w:rPr>
          <w:lang w:eastAsia="ja-JP" w:bidi="hi-IN"/>
        </w:rPr>
        <w:t xml:space="preserve"> and </w:t>
      </w:r>
      <w:r w:rsidR="00B31F6B">
        <w:rPr>
          <w:lang w:eastAsia="ja-JP" w:bidi="hi-IN"/>
        </w:rPr>
        <w:t>horizontal</w:t>
      </w:r>
      <w:r w:rsidRPr="00064224">
        <w:rPr>
          <w:lang w:eastAsia="ja-JP" w:bidi="hi-IN"/>
        </w:rPr>
        <w:t xml:space="preserve"> polarization patterns for each array</w:t>
      </w:r>
    </w:p>
    <w:p w:rsidR="00064224" w:rsidRPr="00064224" w:rsidRDefault="00064224" w:rsidP="00064224">
      <w:pPr>
        <w:rPr>
          <w:lang w:eastAsia="ja-JP" w:bidi="hi-IN"/>
        </w:rPr>
      </w:pPr>
      <w:r w:rsidRPr="00064224">
        <w:rPr>
          <w:lang w:eastAsia="ja-JP" w:bidi="hi-IN"/>
        </w:rPr>
        <w:t xml:space="preserve">2. For each </w:t>
      </w:r>
      <w:r w:rsidR="00B31F6B">
        <w:rPr>
          <w:lang w:eastAsia="ja-JP" w:bidi="hi-IN"/>
        </w:rPr>
        <w:t xml:space="preserve">EIRP CDF test </w:t>
      </w:r>
      <w:r w:rsidRPr="00064224">
        <w:rPr>
          <w:lang w:eastAsia="ja-JP" w:bidi="hi-IN"/>
        </w:rPr>
        <w:t>direction and for each antenna array calculate the total component of EIRP and select the highest one</w:t>
      </w:r>
    </w:p>
    <w:p w:rsidR="00064224" w:rsidRPr="00064224" w:rsidRDefault="00064224" w:rsidP="00064224">
      <w:pPr>
        <w:rPr>
          <w:lang w:eastAsia="ja-JP" w:bidi="hi-IN"/>
        </w:rPr>
      </w:pPr>
      <w:r w:rsidRPr="00064224">
        <w:rPr>
          <w:lang w:eastAsia="ja-JP" w:bidi="hi-IN"/>
        </w:rPr>
        <w:t>3. Create the CDF from these points</w:t>
      </w:r>
    </w:p>
    <w:p w:rsidR="00064224" w:rsidRDefault="00064224" w:rsidP="001273CA">
      <w:pPr>
        <w:rPr>
          <w:lang w:eastAsia="ja-JP" w:bidi="hi-IN"/>
        </w:rPr>
      </w:pPr>
    </w:p>
    <w:p w:rsidR="00E57B43" w:rsidRDefault="00E57B43" w:rsidP="001273CA">
      <w:pPr>
        <w:rPr>
          <w:lang w:eastAsia="ja-JP" w:bidi="hi-IN"/>
        </w:rPr>
      </w:pPr>
      <w:r>
        <w:rPr>
          <w:lang w:eastAsia="ja-JP" w:bidi="hi-IN"/>
        </w:rPr>
        <w:t>Applying these analysis steps to the Model 2 simulated patterns, we update the EIRP CDFs for Model 2 in the following way:</w:t>
      </w:r>
    </w:p>
    <w:p w:rsidR="00E57B43" w:rsidRDefault="00E57B43" w:rsidP="00E57B43">
      <w:pPr>
        <w:pStyle w:val="ListParagraph"/>
      </w:pPr>
      <w:r>
        <w:t xml:space="preserve">Calculate the EIRP CDF for the total power component and apply sin(theta) weighting </w:t>
      </w:r>
      <w:r>
        <w:fldChar w:fldCharType="begin"/>
      </w:r>
      <w:r>
        <w:instrText xml:space="preserve"> REF _Ref513458910 \r \h </w:instrText>
      </w:r>
      <w:r>
        <w:fldChar w:fldCharType="separate"/>
      </w:r>
      <w:r w:rsidR="006A63DA">
        <w:t>[8]</w:t>
      </w:r>
      <w:r>
        <w:fldChar w:fldCharType="end"/>
      </w:r>
      <w:r>
        <w:t xml:space="preserve"> to the </w:t>
      </w:r>
      <w:r w:rsidR="00E268FA">
        <w:t xml:space="preserve">Model 2 </w:t>
      </w:r>
      <w:r>
        <w:t xml:space="preserve">(A) and </w:t>
      </w:r>
      <w:r w:rsidR="00E268FA">
        <w:t xml:space="preserve">Model 2 </w:t>
      </w:r>
      <w:r>
        <w:t>(A+B) results</w:t>
      </w:r>
      <w:r w:rsidR="0080150F">
        <w:t xml:space="preserve"> </w:t>
      </w:r>
      <w:r w:rsidR="00BB2432">
        <w:t>for the 28 GHz range</w:t>
      </w:r>
    </w:p>
    <w:p w:rsidR="00BB2432" w:rsidRDefault="00BB2432" w:rsidP="00E57B43">
      <w:pPr>
        <w:pStyle w:val="ListParagraph"/>
      </w:pPr>
      <w:r>
        <w:t xml:space="preserve">Provide the EIRP CDF results for Model </w:t>
      </w:r>
      <w:r w:rsidR="00744F0F">
        <w:t>2 (A)</w:t>
      </w:r>
      <w:r>
        <w:t xml:space="preserve"> and</w:t>
      </w:r>
      <w:r w:rsidR="0080150F">
        <w:t xml:space="preserve"> Model 2</w:t>
      </w:r>
      <w:r>
        <w:t xml:space="preserve"> (A+B) for the 39 GHz range</w:t>
      </w:r>
    </w:p>
    <w:p w:rsidR="005126B2" w:rsidRPr="00E57B43" w:rsidRDefault="005126B2" w:rsidP="00E57B43">
      <w:pPr>
        <w:pStyle w:val="ListParagraph"/>
      </w:pPr>
      <w:r>
        <w:t>The Model 2 design targets a subset of the 39 GHz range (37 to 40 GHz)</w:t>
      </w:r>
    </w:p>
    <w:p w:rsidR="00473F72" w:rsidRDefault="00473F72" w:rsidP="001273CA">
      <w:pPr>
        <w:rPr>
          <w:lang w:eastAsia="ja-JP" w:bidi="hi-IN"/>
        </w:rPr>
      </w:pPr>
    </w:p>
    <w:p w:rsidR="00B31F6B" w:rsidRDefault="001F38B3" w:rsidP="00B31F6B">
      <w:pPr>
        <w:rPr>
          <w:lang w:eastAsia="ja-JP" w:bidi="hi-IN"/>
        </w:rPr>
      </w:pPr>
      <w:r>
        <w:rPr>
          <w:lang w:eastAsia="ja-JP" w:bidi="hi-IN"/>
        </w:rPr>
        <w:lastRenderedPageBreak/>
        <w:t>The</w:t>
      </w:r>
      <w:r w:rsidR="00B31F6B">
        <w:rPr>
          <w:lang w:eastAsia="ja-JP" w:bidi="hi-IN"/>
        </w:rPr>
        <w:t xml:space="preserve"> </w:t>
      </w:r>
      <w:r>
        <w:rPr>
          <w:lang w:eastAsia="ja-JP" w:bidi="hi-IN"/>
        </w:rPr>
        <w:t xml:space="preserve">updated </w:t>
      </w:r>
      <w:r w:rsidR="00B31F6B">
        <w:rPr>
          <w:lang w:eastAsia="ja-JP" w:bidi="hi-IN"/>
        </w:rPr>
        <w:t xml:space="preserve">simulation results for Model 2 are shown in </w:t>
      </w:r>
      <w:r w:rsidR="00B31F6B">
        <w:rPr>
          <w:lang w:eastAsia="ja-JP" w:bidi="hi-IN"/>
        </w:rPr>
        <w:fldChar w:fldCharType="begin"/>
      </w:r>
      <w:r w:rsidR="00B31F6B">
        <w:rPr>
          <w:lang w:eastAsia="ja-JP" w:bidi="hi-IN"/>
        </w:rPr>
        <w:instrText xml:space="preserve"> REF _Ref513476904 \h </w:instrText>
      </w:r>
      <w:r w:rsidR="00B31F6B">
        <w:rPr>
          <w:lang w:eastAsia="ja-JP" w:bidi="hi-IN"/>
        </w:rPr>
      </w:r>
      <w:r w:rsidR="00B31F6B">
        <w:rPr>
          <w:lang w:eastAsia="ja-JP" w:bidi="hi-IN"/>
        </w:rPr>
        <w:fldChar w:fldCharType="separate"/>
      </w:r>
      <w:r w:rsidR="006A63DA">
        <w:t xml:space="preserve">Figure </w:t>
      </w:r>
      <w:r w:rsidR="006A63DA">
        <w:rPr>
          <w:noProof/>
        </w:rPr>
        <w:t>3</w:t>
      </w:r>
      <w:r w:rsidR="00B31F6B">
        <w:rPr>
          <w:lang w:eastAsia="ja-JP" w:bidi="hi-IN"/>
        </w:rPr>
        <w:fldChar w:fldCharType="end"/>
      </w:r>
      <w:r w:rsidR="00B31F6B">
        <w:rPr>
          <w:lang w:eastAsia="ja-JP" w:bidi="hi-IN"/>
        </w:rPr>
        <w:t xml:space="preserve"> below:</w:t>
      </w:r>
    </w:p>
    <w:p w:rsidR="009F2E50" w:rsidRDefault="009F2E50" w:rsidP="00B31F6B">
      <w:pPr>
        <w:rPr>
          <w:lang w:eastAsia="ja-JP" w:bidi="hi-IN"/>
        </w:rPr>
      </w:pPr>
    </w:p>
    <w:p w:rsidR="00BE444A" w:rsidRDefault="00396E4A" w:rsidP="00BE444A">
      <w:pPr>
        <w:keepNext/>
        <w:jc w:val="center"/>
      </w:pPr>
      <w:r w:rsidRPr="00396E4A">
        <w:rPr>
          <w:noProof/>
        </w:rPr>
        <w:drawing>
          <wp:inline distT="0" distB="0" distL="0" distR="0" wp14:anchorId="607ADAD7" wp14:editId="1DEDC67A">
            <wp:extent cx="4114800" cy="308599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14800" cy="3085993"/>
                    </a:xfrm>
                    <a:prstGeom prst="rect">
                      <a:avLst/>
                    </a:prstGeom>
                  </pic:spPr>
                </pic:pic>
              </a:graphicData>
            </a:graphic>
          </wp:inline>
        </w:drawing>
      </w:r>
    </w:p>
    <w:p w:rsidR="00BE444A" w:rsidRDefault="00BE444A" w:rsidP="00B31F6B">
      <w:pPr>
        <w:pStyle w:val="Caption"/>
        <w:jc w:val="center"/>
      </w:pPr>
      <w:bookmarkStart w:id="4" w:name="_Ref513476904"/>
      <w:r>
        <w:t xml:space="preserve">Figure </w:t>
      </w:r>
      <w:fldSimple w:instr=" SEQ Figure \* ARABIC ">
        <w:r w:rsidR="006A63DA">
          <w:rPr>
            <w:noProof/>
          </w:rPr>
          <w:t>3</w:t>
        </w:r>
      </w:fldSimple>
      <w:bookmarkEnd w:id="4"/>
      <w:r>
        <w:t>: Simulated EIRP CDFs, Model 2</w:t>
      </w:r>
    </w:p>
    <w:p w:rsidR="00F85AF6" w:rsidRDefault="00F85AF6" w:rsidP="00F85AF6"/>
    <w:p w:rsidR="00E268FA" w:rsidRDefault="00F85AF6" w:rsidP="00E268FA">
      <w:r>
        <w:t>The updated EIRP CDF results of Model 2 at the 50</w:t>
      </w:r>
      <w:r w:rsidRPr="00F85AF6">
        <w:rPr>
          <w:vertAlign w:val="superscript"/>
        </w:rPr>
        <w:t>th</w:t>
      </w:r>
      <w:r>
        <w:t xml:space="preserve"> percentile are provided in </w:t>
      </w:r>
      <w:r>
        <w:fldChar w:fldCharType="begin"/>
      </w:r>
      <w:r>
        <w:instrText xml:space="preserve"> REF _Ref513485207 \h </w:instrText>
      </w:r>
      <w:r>
        <w:fldChar w:fldCharType="separate"/>
      </w:r>
      <w:r w:rsidR="006A63DA">
        <w:t xml:space="preserve">Table </w:t>
      </w:r>
      <w:r w:rsidR="006A63DA">
        <w:rPr>
          <w:noProof/>
        </w:rPr>
        <w:t>1</w:t>
      </w:r>
      <w:r>
        <w:fldChar w:fldCharType="end"/>
      </w:r>
      <w:r>
        <w:t xml:space="preserve"> in the summary section of this paper.</w:t>
      </w:r>
      <w:r w:rsidR="00156B29">
        <w:t xml:space="preserve">  These results correspond to the RAN4 assumptions in the following way</w:t>
      </w:r>
      <w:r w:rsidR="00E268FA">
        <w:t>s</w:t>
      </w:r>
      <w:r w:rsidR="00156B29">
        <w:t>:</w:t>
      </w:r>
    </w:p>
    <w:p w:rsidR="00E268FA" w:rsidRDefault="00E268FA" w:rsidP="00E268FA"/>
    <w:p w:rsidR="00E268FA" w:rsidRDefault="00E268FA" w:rsidP="00E268FA">
      <w:r w:rsidRPr="00E268FA">
        <w:rPr>
          <w:b/>
        </w:rPr>
        <w:t>Observation 2</w:t>
      </w:r>
      <w:r>
        <w:t xml:space="preserve">: </w:t>
      </w:r>
      <w:r w:rsidR="00156B29">
        <w:t xml:space="preserve">The result </w:t>
      </w:r>
      <w:r w:rsidR="000B2619">
        <w:t xml:space="preserve">for </w:t>
      </w:r>
      <w:r w:rsidR="00156B29">
        <w:t>Model 2 (A)</w:t>
      </w:r>
      <w:r>
        <w:t xml:space="preserve"> </w:t>
      </w:r>
      <w:r w:rsidR="00156B29">
        <w:t>correspond</w:t>
      </w:r>
      <w:r w:rsidR="000B2619">
        <w:t>s</w:t>
      </w:r>
      <w:r w:rsidR="00156B29">
        <w:t xml:space="preserve"> to Assumption 1 with full display panel</w:t>
      </w:r>
      <w:r>
        <w:t>.</w:t>
      </w:r>
    </w:p>
    <w:p w:rsidR="00E268FA" w:rsidRDefault="00E268FA" w:rsidP="00E268FA"/>
    <w:p w:rsidR="00156B29" w:rsidRPr="00F85AF6" w:rsidRDefault="00E268FA" w:rsidP="00E268FA">
      <w:r w:rsidRPr="00E268FA">
        <w:rPr>
          <w:b/>
        </w:rPr>
        <w:t>Observation 3</w:t>
      </w:r>
      <w:r>
        <w:t xml:space="preserve">: </w:t>
      </w:r>
      <w:r w:rsidR="00156B29">
        <w:t xml:space="preserve">The result </w:t>
      </w:r>
      <w:r w:rsidR="000B2619">
        <w:t xml:space="preserve">for </w:t>
      </w:r>
      <w:r w:rsidR="00156B29">
        <w:t xml:space="preserve">Model 2 (A+B) corresponds to Assumption 3 with full display panel and </w:t>
      </w:r>
      <w:r w:rsidR="00057496">
        <w:t>Back/Back</w:t>
      </w:r>
      <w:r w:rsidR="00156B29">
        <w:t xml:space="preserve"> antenna panel locations</w:t>
      </w:r>
      <w:r w:rsidR="008B7A37">
        <w:t>.</w:t>
      </w:r>
    </w:p>
    <w:p w:rsidR="001273CA" w:rsidRDefault="001273CA" w:rsidP="001273CA">
      <w:pPr>
        <w:pStyle w:val="Heading3"/>
      </w:pPr>
      <w:r>
        <w:t>Model 3</w:t>
      </w:r>
    </w:p>
    <w:p w:rsidR="00B71212" w:rsidRDefault="00E10CDA" w:rsidP="00E10CDA">
      <w:pPr>
        <w:rPr>
          <w:lang w:eastAsia="ja-JP" w:bidi="hi-IN"/>
        </w:rPr>
      </w:pPr>
      <w:r>
        <w:rPr>
          <w:lang w:eastAsia="ja-JP" w:bidi="hi-IN"/>
        </w:rPr>
        <w:t>Continuing to improve the modeling effort, alternate placement of a single antenna array was considered for Model 3.  Furthermore, this effort</w:t>
      </w:r>
      <w:r w:rsidR="000D05DF">
        <w:rPr>
          <w:lang w:eastAsia="ja-JP" w:bidi="hi-IN"/>
        </w:rPr>
        <w:t xml:space="preserve"> </w:t>
      </w:r>
      <w:r w:rsidR="00636D5C">
        <w:rPr>
          <w:lang w:eastAsia="ja-JP" w:bidi="hi-IN"/>
        </w:rPr>
        <w:t>improved</w:t>
      </w:r>
      <w:r>
        <w:rPr>
          <w:lang w:eastAsia="ja-JP" w:bidi="hi-IN"/>
        </w:rPr>
        <w:t xml:space="preserve"> the estimate</w:t>
      </w:r>
      <w:r w:rsidR="00636D5C">
        <w:rPr>
          <w:lang w:eastAsia="ja-JP" w:bidi="hi-IN"/>
        </w:rPr>
        <w:t xml:space="preserve"> of volume available to the array from Model 2</w:t>
      </w:r>
      <w:r>
        <w:rPr>
          <w:lang w:eastAsia="ja-JP" w:bidi="hi-IN"/>
        </w:rPr>
        <w:t xml:space="preserve">.  </w:t>
      </w:r>
      <w:r w:rsidR="005126B2">
        <w:rPr>
          <w:lang w:eastAsia="ja-JP" w:bidi="hi-IN"/>
        </w:rPr>
        <w:t xml:space="preserve">The Model 3 design targets the entire range of 37 to 43 GHz for the high band.  </w:t>
      </w:r>
      <w:r>
        <w:rPr>
          <w:lang w:eastAsia="ja-JP" w:bidi="hi-IN"/>
        </w:rPr>
        <w:t xml:space="preserve">All other parameters from </w:t>
      </w:r>
      <w:r>
        <w:rPr>
          <w:lang w:eastAsia="ja-JP" w:bidi="hi-IN"/>
        </w:rPr>
        <w:fldChar w:fldCharType="begin"/>
      </w:r>
      <w:r>
        <w:rPr>
          <w:lang w:eastAsia="ja-JP" w:bidi="hi-IN"/>
        </w:rPr>
        <w:instrText xml:space="preserve"> REF _Ref513448925 \h </w:instrText>
      </w:r>
      <w:r>
        <w:rPr>
          <w:lang w:eastAsia="ja-JP" w:bidi="hi-IN"/>
        </w:rPr>
      </w:r>
      <w:r>
        <w:rPr>
          <w:lang w:eastAsia="ja-JP" w:bidi="hi-IN"/>
        </w:rPr>
        <w:fldChar w:fldCharType="separate"/>
      </w:r>
      <w:r w:rsidR="006A63DA">
        <w:t xml:space="preserve">Figure </w:t>
      </w:r>
      <w:r w:rsidR="006A63DA">
        <w:rPr>
          <w:noProof/>
        </w:rPr>
        <w:t>2</w:t>
      </w:r>
      <w:r>
        <w:rPr>
          <w:lang w:eastAsia="ja-JP" w:bidi="hi-IN"/>
        </w:rPr>
        <w:fldChar w:fldCharType="end"/>
      </w:r>
      <w:r>
        <w:rPr>
          <w:lang w:eastAsia="ja-JP" w:bidi="hi-IN"/>
        </w:rPr>
        <w:t xml:space="preserve"> apply.</w:t>
      </w:r>
    </w:p>
    <w:p w:rsidR="00E10CDA" w:rsidRDefault="00E10CDA" w:rsidP="00E10CDA">
      <w:pPr>
        <w:rPr>
          <w:lang w:eastAsia="ja-JP" w:bidi="hi-IN"/>
        </w:rPr>
      </w:pPr>
    </w:p>
    <w:p w:rsidR="00E10CDA" w:rsidRDefault="00E10CDA" w:rsidP="00E10CDA">
      <w:pPr>
        <w:rPr>
          <w:lang w:eastAsia="ja-JP" w:bidi="hi-IN"/>
        </w:rPr>
      </w:pPr>
      <w:r>
        <w:rPr>
          <w:lang w:eastAsia="ja-JP" w:bidi="hi-IN"/>
        </w:rPr>
        <w:fldChar w:fldCharType="begin"/>
      </w:r>
      <w:r>
        <w:rPr>
          <w:lang w:eastAsia="ja-JP" w:bidi="hi-IN"/>
        </w:rPr>
        <w:instrText xml:space="preserve"> REF _Ref513448943 \h </w:instrText>
      </w:r>
      <w:r>
        <w:rPr>
          <w:lang w:eastAsia="ja-JP" w:bidi="hi-IN"/>
        </w:rPr>
      </w:r>
      <w:r>
        <w:rPr>
          <w:lang w:eastAsia="ja-JP" w:bidi="hi-IN"/>
        </w:rPr>
        <w:fldChar w:fldCharType="separate"/>
      </w:r>
      <w:r w:rsidR="006A63DA">
        <w:t xml:space="preserve">Figure </w:t>
      </w:r>
      <w:r w:rsidR="006A63DA">
        <w:rPr>
          <w:noProof/>
        </w:rPr>
        <w:t>4</w:t>
      </w:r>
      <w:r>
        <w:rPr>
          <w:lang w:eastAsia="ja-JP" w:bidi="hi-IN"/>
        </w:rPr>
        <w:fldChar w:fldCharType="end"/>
      </w:r>
      <w:r>
        <w:rPr>
          <w:lang w:eastAsia="ja-JP" w:bidi="hi-IN"/>
        </w:rPr>
        <w:t xml:space="preserve"> below illustrates the normalized EIRP CDFs generated for the 28 GHz and 39 GHz </w:t>
      </w:r>
      <w:r w:rsidR="001F38B3">
        <w:rPr>
          <w:lang w:eastAsia="ja-JP" w:bidi="hi-IN"/>
        </w:rPr>
        <w:t xml:space="preserve">array </w:t>
      </w:r>
      <w:r>
        <w:rPr>
          <w:lang w:eastAsia="ja-JP" w:bidi="hi-IN"/>
        </w:rPr>
        <w:t>designs, respectively.</w:t>
      </w:r>
    </w:p>
    <w:p w:rsidR="00BE444A" w:rsidRDefault="00744F0F" w:rsidP="00BE444A">
      <w:pPr>
        <w:keepNext/>
        <w:jc w:val="center"/>
      </w:pPr>
      <w:r w:rsidRPr="00744F0F">
        <w:rPr>
          <w:noProof/>
        </w:rPr>
        <w:lastRenderedPageBreak/>
        <w:drawing>
          <wp:inline distT="0" distB="0" distL="0" distR="0" wp14:anchorId="30C8E689" wp14:editId="08230B51">
            <wp:extent cx="4114800" cy="308599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14800" cy="3085993"/>
                    </a:xfrm>
                    <a:prstGeom prst="rect">
                      <a:avLst/>
                    </a:prstGeom>
                  </pic:spPr>
                </pic:pic>
              </a:graphicData>
            </a:graphic>
          </wp:inline>
        </w:drawing>
      </w:r>
    </w:p>
    <w:p w:rsidR="002A5D92" w:rsidRDefault="00BE444A" w:rsidP="00BE444A">
      <w:pPr>
        <w:pStyle w:val="Caption"/>
        <w:jc w:val="center"/>
        <w:rPr>
          <w:lang w:eastAsia="ja-JP" w:bidi="hi-IN"/>
        </w:rPr>
      </w:pPr>
      <w:bookmarkStart w:id="5" w:name="_Ref513448943"/>
      <w:r>
        <w:t xml:space="preserve">Figure </w:t>
      </w:r>
      <w:fldSimple w:instr=" SEQ Figure \* ARABIC ">
        <w:r w:rsidR="006A63DA">
          <w:rPr>
            <w:noProof/>
          </w:rPr>
          <w:t>4</w:t>
        </w:r>
      </w:fldSimple>
      <w:bookmarkEnd w:id="5"/>
      <w:r>
        <w:t>: Simulated EIRP CDFs, Model 3</w:t>
      </w:r>
    </w:p>
    <w:p w:rsidR="00EF1668" w:rsidRDefault="00EF1668" w:rsidP="001273CA">
      <w:pPr>
        <w:rPr>
          <w:lang w:eastAsia="ja-JP" w:bidi="hi-IN"/>
        </w:rPr>
      </w:pPr>
    </w:p>
    <w:p w:rsidR="00177583" w:rsidRDefault="00177583" w:rsidP="001273CA">
      <w:r w:rsidRPr="00177583">
        <w:rPr>
          <w:b/>
        </w:rPr>
        <w:t>Observation 4</w:t>
      </w:r>
      <w:r>
        <w:t xml:space="preserve">: The result </w:t>
      </w:r>
      <w:r w:rsidR="000B2619">
        <w:t xml:space="preserve">for </w:t>
      </w:r>
      <w:r>
        <w:t>Model 3 corresponds to Assumption 1 with full display panel.</w:t>
      </w:r>
    </w:p>
    <w:p w:rsidR="00177583" w:rsidRDefault="00177583" w:rsidP="001273CA"/>
    <w:p w:rsidR="00F85AF6" w:rsidRDefault="00F85AF6" w:rsidP="001273CA">
      <w:r>
        <w:t>The EIRP CDF results of Model 3 at the 50</w:t>
      </w:r>
      <w:r w:rsidRPr="00F85AF6">
        <w:rPr>
          <w:vertAlign w:val="superscript"/>
        </w:rPr>
        <w:t>th</w:t>
      </w:r>
      <w:r>
        <w:t xml:space="preserve"> percentile are provided in </w:t>
      </w:r>
      <w:r>
        <w:fldChar w:fldCharType="begin"/>
      </w:r>
      <w:r>
        <w:instrText xml:space="preserve"> REF _Ref513485207 \h </w:instrText>
      </w:r>
      <w:r>
        <w:fldChar w:fldCharType="separate"/>
      </w:r>
      <w:r w:rsidR="006A63DA">
        <w:t xml:space="preserve">Table </w:t>
      </w:r>
      <w:r w:rsidR="006A63DA">
        <w:rPr>
          <w:noProof/>
        </w:rPr>
        <w:t>1</w:t>
      </w:r>
      <w:r>
        <w:fldChar w:fldCharType="end"/>
      </w:r>
      <w:r>
        <w:t xml:space="preserve"> in th</w:t>
      </w:r>
      <w:r w:rsidR="00156B29">
        <w:t>e summary section of this paper.</w:t>
      </w:r>
    </w:p>
    <w:p w:rsidR="00F67988" w:rsidRDefault="00F67988" w:rsidP="00F67988">
      <w:pPr>
        <w:pStyle w:val="Heading2"/>
      </w:pPr>
      <w:r>
        <w:t>Measurement results</w:t>
      </w:r>
    </w:p>
    <w:p w:rsidR="00362514" w:rsidRDefault="00362514" w:rsidP="00362514">
      <w:r>
        <w:t>The experimental verification of spherical coverage performance of the handheld UE has been an integral part of the approved work plan.  While recognizing that the NR acceleration has challenged the availability of prototype devices for measurement, some initial efforts in this area have been undertaken.</w:t>
      </w:r>
    </w:p>
    <w:p w:rsidR="00362514" w:rsidRDefault="00362514" w:rsidP="00362514"/>
    <w:p w:rsidR="00362514" w:rsidRDefault="00362514" w:rsidP="00362514">
      <w:r>
        <w:t xml:space="preserve">During the RAN4 #86bis meeting an all-plastic prototype design was simulated and measured with results summarized in </w:t>
      </w:r>
      <w:r w:rsidR="00096170">
        <w:fldChar w:fldCharType="begin"/>
      </w:r>
      <w:r w:rsidR="00096170">
        <w:instrText xml:space="preserve"> REF _Ref513738602 \h </w:instrText>
      </w:r>
      <w:r w:rsidR="00096170">
        <w:fldChar w:fldCharType="separate"/>
      </w:r>
      <w:r w:rsidR="006A63DA">
        <w:t xml:space="preserve">Figure </w:t>
      </w:r>
      <w:r w:rsidR="006A63DA">
        <w:rPr>
          <w:noProof/>
        </w:rPr>
        <w:t>5</w:t>
      </w:r>
      <w:r w:rsidR="00096170">
        <w:fldChar w:fldCharType="end"/>
      </w:r>
      <w:r>
        <w:t xml:space="preserve"> below </w:t>
      </w:r>
      <w:r>
        <w:fldChar w:fldCharType="begin"/>
      </w:r>
      <w:r>
        <w:instrText xml:space="preserve"> REF _Ref513458883 \r \h </w:instrText>
      </w:r>
      <w:r>
        <w:fldChar w:fldCharType="separate"/>
      </w:r>
      <w:r w:rsidR="006A63DA">
        <w:t>[12]</w:t>
      </w:r>
      <w:r>
        <w:fldChar w:fldCharType="end"/>
      </w:r>
      <w:r>
        <w:t>.</w:t>
      </w:r>
    </w:p>
    <w:p w:rsidR="00362514" w:rsidRDefault="00362514" w:rsidP="00362514"/>
    <w:p w:rsidR="00277076" w:rsidRDefault="00277076" w:rsidP="006A63DA">
      <w:pPr>
        <w:keepNext/>
        <w:jc w:val="center"/>
      </w:pPr>
      <w:r>
        <w:rPr>
          <w:noProof/>
          <w:lang w:eastAsia="ja-JP"/>
        </w:rPr>
        <w:lastRenderedPageBreak/>
        <w:drawing>
          <wp:inline distT="0" distB="0" distL="0" distR="0" wp14:anchorId="34CCB866" wp14:editId="2CCAF6A0">
            <wp:extent cx="5060442" cy="3154938"/>
            <wp:effectExtent l="0" t="0" r="698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61858" cy="3155821"/>
                    </a:xfrm>
                    <a:prstGeom prst="rect">
                      <a:avLst/>
                    </a:prstGeom>
                    <a:noFill/>
                  </pic:spPr>
                </pic:pic>
              </a:graphicData>
            </a:graphic>
          </wp:inline>
        </w:drawing>
      </w:r>
    </w:p>
    <w:p w:rsidR="00277076" w:rsidRDefault="00277076" w:rsidP="006A63DA">
      <w:pPr>
        <w:pStyle w:val="Caption"/>
        <w:jc w:val="center"/>
      </w:pPr>
      <w:bookmarkStart w:id="6" w:name="_Ref513738602"/>
      <w:r>
        <w:t xml:space="preserve">Figure </w:t>
      </w:r>
      <w:fldSimple w:instr=" SEQ Figure \* ARABIC ">
        <w:r w:rsidR="006A63DA">
          <w:rPr>
            <w:noProof/>
          </w:rPr>
          <w:t>5</w:t>
        </w:r>
      </w:fldSimple>
      <w:bookmarkEnd w:id="6"/>
      <w:r>
        <w:t xml:space="preserve">: Comparison between measured and simulated CDF spherical performance from </w:t>
      </w:r>
      <w:r>
        <w:fldChar w:fldCharType="begin"/>
      </w:r>
      <w:r>
        <w:instrText xml:space="preserve"> REF _Ref513458883 \r \h </w:instrText>
      </w:r>
      <w:r>
        <w:fldChar w:fldCharType="separate"/>
      </w:r>
      <w:r w:rsidR="006A63DA">
        <w:t>[12]</w:t>
      </w:r>
      <w:r>
        <w:fldChar w:fldCharType="end"/>
      </w:r>
    </w:p>
    <w:p w:rsidR="00277076" w:rsidRDefault="00277076" w:rsidP="00362514"/>
    <w:p w:rsidR="00362514" w:rsidRDefault="00362514" w:rsidP="00362514">
      <w:r>
        <w:br/>
      </w:r>
      <w:r w:rsidRPr="00EE2255">
        <w:rPr>
          <w:b/>
        </w:rPr>
        <w:t xml:space="preserve">Observation </w:t>
      </w:r>
      <w:r w:rsidR="00C261FB">
        <w:rPr>
          <w:b/>
        </w:rPr>
        <w:t>5</w:t>
      </w:r>
      <w:r w:rsidRPr="007C5750">
        <w:t>:</w:t>
      </w:r>
      <w:r>
        <w:rPr>
          <w:b/>
        </w:rPr>
        <w:t xml:space="preserve"> </w:t>
      </w:r>
      <w:r>
        <w:t>The g</w:t>
      </w:r>
      <w:r w:rsidRPr="0004781D">
        <w:t>ap between simulation and measurement</w:t>
      </w:r>
      <w:r>
        <w:t xml:space="preserve">, as reported in </w:t>
      </w:r>
      <w:r>
        <w:fldChar w:fldCharType="begin"/>
      </w:r>
      <w:r>
        <w:instrText xml:space="preserve"> REF _Ref513458883 \r \h </w:instrText>
      </w:r>
      <w:r>
        <w:fldChar w:fldCharType="separate"/>
      </w:r>
      <w:r w:rsidR="006A63DA">
        <w:t>[12]</w:t>
      </w:r>
      <w:r>
        <w:fldChar w:fldCharType="end"/>
      </w:r>
      <w:r>
        <w:t>,</w:t>
      </w:r>
      <w:r w:rsidRPr="0004781D">
        <w:t xml:space="preserve"> </w:t>
      </w:r>
      <w:r w:rsidR="0024297B">
        <w:t>is between 1.5 and 1.7</w:t>
      </w:r>
      <w:r w:rsidRPr="0004781D">
        <w:t xml:space="preserve"> dB</w:t>
      </w:r>
      <w:r>
        <w:t>.</w:t>
      </w:r>
    </w:p>
    <w:p w:rsidR="006A63DA" w:rsidRDefault="006A63DA" w:rsidP="00362514"/>
    <w:p w:rsidR="006A63DA" w:rsidRDefault="006A63DA" w:rsidP="006A63DA">
      <w:r>
        <w:fldChar w:fldCharType="begin"/>
      </w:r>
      <w:r>
        <w:instrText xml:space="preserve"> REF _Ref513558606 \h </w:instrText>
      </w:r>
      <w:r>
        <w:fldChar w:fldCharType="separate"/>
      </w:r>
      <w:r>
        <w:t xml:space="preserve">Figure </w:t>
      </w:r>
      <w:r>
        <w:rPr>
          <w:noProof/>
        </w:rPr>
        <w:t>6</w:t>
      </w:r>
      <w:r>
        <w:fldChar w:fldCharType="end"/>
      </w:r>
      <w:r>
        <w:t xml:space="preserve"> below shows the hemispherical EIRP CDF of a prototype in a single polarization (at 28 GHz): simulation of just the prototype, simulation of prototype + fixturing, and measurement.  The simulated and measured data shown here is relevant to the broadside beam.</w:t>
      </w:r>
    </w:p>
    <w:p w:rsidR="006A63DA" w:rsidRDefault="006A63DA" w:rsidP="006A63DA"/>
    <w:p w:rsidR="006A63DA" w:rsidRDefault="006A63DA" w:rsidP="006A63DA">
      <w:pPr>
        <w:keepNext/>
        <w:jc w:val="center"/>
      </w:pPr>
      <w:r w:rsidRPr="006F1295">
        <w:rPr>
          <w:noProof/>
        </w:rPr>
        <w:drawing>
          <wp:inline distT="0" distB="0" distL="0" distR="0" wp14:anchorId="49F9C283" wp14:editId="0DA7E8FF">
            <wp:extent cx="4114800" cy="2356437"/>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4114800" cy="2356437"/>
                    </a:xfrm>
                    <a:prstGeom prst="rect">
                      <a:avLst/>
                    </a:prstGeom>
                  </pic:spPr>
                </pic:pic>
              </a:graphicData>
            </a:graphic>
          </wp:inline>
        </w:drawing>
      </w:r>
    </w:p>
    <w:p w:rsidR="006A63DA" w:rsidRDefault="006A63DA" w:rsidP="006A63DA">
      <w:pPr>
        <w:pStyle w:val="Caption"/>
        <w:jc w:val="center"/>
      </w:pPr>
      <w:bookmarkStart w:id="7" w:name="_Ref513558606"/>
      <w:r>
        <w:t xml:space="preserve">Figure </w:t>
      </w:r>
      <w:fldSimple w:instr=" SEQ Figure \* ARABIC ">
        <w:r>
          <w:rPr>
            <w:noProof/>
          </w:rPr>
          <w:t>6</w:t>
        </w:r>
      </w:fldSimple>
      <w:bookmarkEnd w:id="7"/>
      <w:r>
        <w:t>: Alignment between simulations and measurements</w:t>
      </w:r>
    </w:p>
    <w:p w:rsidR="006A63DA" w:rsidRDefault="006A63DA" w:rsidP="006A63DA"/>
    <w:p w:rsidR="006A63DA" w:rsidRDefault="006A63DA" w:rsidP="006A63DA">
      <w:r>
        <w:t>We observe that the model of prototype + fixturing aligns very well with measurements (less than 0.5 dB gap between simulation and measurement).  Furthermore,</w:t>
      </w:r>
    </w:p>
    <w:p w:rsidR="006A63DA" w:rsidRDefault="006A63DA" w:rsidP="006A63DA">
      <w:pPr>
        <w:pStyle w:val="ListParagraph"/>
      </w:pPr>
      <w:r>
        <w:t>At the 50</w:t>
      </w:r>
      <w:r w:rsidRPr="006F1295">
        <w:rPr>
          <w:vertAlign w:val="superscript"/>
        </w:rPr>
        <w:t>th</w:t>
      </w:r>
      <w:r>
        <w:t xml:space="preserve"> percentile there is a margin of 3 dB between the measurement and unfixtured simulation, which accounts for the impact of fixturing</w:t>
      </w:r>
    </w:p>
    <w:p w:rsidR="006A63DA" w:rsidRDefault="006A63DA" w:rsidP="006A63DA">
      <w:pPr>
        <w:pStyle w:val="ListParagraph"/>
      </w:pPr>
      <w:r>
        <w:t>At the 20</w:t>
      </w:r>
      <w:r w:rsidRPr="007C6AFC">
        <w:rPr>
          <w:vertAlign w:val="superscript"/>
        </w:rPr>
        <w:t>th</w:t>
      </w:r>
      <w:r>
        <w:t xml:space="preserve"> percentile there is a margin of 5 dB between the measurement and unfixtured simulation</w:t>
      </w:r>
    </w:p>
    <w:p w:rsidR="006A63DA" w:rsidRDefault="006A63DA" w:rsidP="006A63DA"/>
    <w:p w:rsidR="006A63DA" w:rsidRDefault="006A63DA" w:rsidP="006A63DA">
      <w:r w:rsidRPr="009160C9">
        <w:rPr>
          <w:b/>
        </w:rPr>
        <w:lastRenderedPageBreak/>
        <w:t xml:space="preserve">Observation </w:t>
      </w:r>
      <w:r>
        <w:rPr>
          <w:b/>
        </w:rPr>
        <w:t>6</w:t>
      </w:r>
      <w:r>
        <w:t xml:space="preserve">: The first step toward improving the confidence in our simulated results’ prediction of the EIRP CDF performance has been taken with results showing alignment within 0.5 dB. </w:t>
      </w:r>
    </w:p>
    <w:p w:rsidR="006A63DA" w:rsidRDefault="006A63DA" w:rsidP="006A63DA"/>
    <w:p w:rsidR="006A63DA" w:rsidRDefault="006A63DA" w:rsidP="006A63DA">
      <w:r w:rsidRPr="00215C99">
        <w:rPr>
          <w:b/>
        </w:rPr>
        <w:t xml:space="preserve">Observation </w:t>
      </w:r>
      <w:r>
        <w:rPr>
          <w:b/>
        </w:rPr>
        <w:t>7</w:t>
      </w:r>
      <w:r>
        <w:t>: The measurement results raise a concern with the efficacy of setting a potential requirement on any percentile below the 50</w:t>
      </w:r>
      <w:r w:rsidRPr="00215C99">
        <w:rPr>
          <w:vertAlign w:val="superscript"/>
        </w:rPr>
        <w:t>th</w:t>
      </w:r>
      <w:r>
        <w:t>, since it becomes difficult to separate actual UE performance at these percentiles from any test system related effects, such as DUT fixturing.  It is not recommended to consider defining an EIRP CDF requirement for any percentiles below the 50</w:t>
      </w:r>
      <w:r w:rsidRPr="00215C99">
        <w:rPr>
          <w:vertAlign w:val="superscript"/>
        </w:rPr>
        <w:t>th</w:t>
      </w:r>
      <w:r>
        <w:t>.</w:t>
      </w:r>
    </w:p>
    <w:p w:rsidR="006A63DA" w:rsidRDefault="006A63DA" w:rsidP="006A63DA"/>
    <w:p w:rsidR="006A63DA" w:rsidRDefault="006A63DA" w:rsidP="00362514">
      <w:r>
        <w:t>In general, and in relation to Observation 7, a discussion in the NR testability SI with the objective of requesting test solution providers to quantify the potential impact of mounting/fixturing the DUT in their test setups on the EIRP CDF performance is recommended.  This evaluation can help quantify factors which contribute to the test tolerance of the EIRP CDF measurement.</w:t>
      </w:r>
    </w:p>
    <w:p w:rsidR="0028298E" w:rsidRDefault="00541679" w:rsidP="0028298E">
      <w:pPr>
        <w:pStyle w:val="Heading2"/>
      </w:pPr>
      <w:r>
        <w:t>P</w:t>
      </w:r>
      <w:r w:rsidR="0028298E">
        <w:t>ractical design factors</w:t>
      </w:r>
    </w:p>
    <w:p w:rsidR="0012641F" w:rsidRDefault="00BD4194" w:rsidP="00BD4194">
      <w:pPr>
        <w:pStyle w:val="Heading3"/>
      </w:pPr>
      <w:r>
        <w:t>Intra-band variation</w:t>
      </w:r>
    </w:p>
    <w:p w:rsidR="00DC049B" w:rsidRDefault="002A7C3D" w:rsidP="00BD4194">
      <w:pPr>
        <w:rPr>
          <w:lang w:eastAsia="ja-JP" w:bidi="hi-IN"/>
        </w:rPr>
      </w:pPr>
      <w:r>
        <w:rPr>
          <w:lang w:eastAsia="ja-JP" w:bidi="hi-IN"/>
        </w:rPr>
        <w:t xml:space="preserve">During the peak EIRP discussions, the in-depth derivation of the parameters which impact peak EIRP was provided in </w:t>
      </w:r>
      <w:r>
        <w:rPr>
          <w:lang w:eastAsia="ja-JP" w:bidi="hi-IN"/>
        </w:rPr>
        <w:fldChar w:fldCharType="begin"/>
      </w:r>
      <w:r>
        <w:rPr>
          <w:lang w:eastAsia="ja-JP" w:bidi="hi-IN"/>
        </w:rPr>
        <w:instrText xml:space="preserve"> REF _Ref513449304 \r \h </w:instrText>
      </w:r>
      <w:r>
        <w:rPr>
          <w:lang w:eastAsia="ja-JP" w:bidi="hi-IN"/>
        </w:rPr>
      </w:r>
      <w:r>
        <w:rPr>
          <w:lang w:eastAsia="ja-JP" w:bidi="hi-IN"/>
        </w:rPr>
        <w:fldChar w:fldCharType="separate"/>
      </w:r>
      <w:r w:rsidR="006A63DA">
        <w:rPr>
          <w:lang w:eastAsia="ja-JP" w:bidi="hi-IN"/>
        </w:rPr>
        <w:t>[7]</w:t>
      </w:r>
      <w:r>
        <w:rPr>
          <w:lang w:eastAsia="ja-JP" w:bidi="hi-IN"/>
        </w:rPr>
        <w:fldChar w:fldCharType="end"/>
      </w:r>
      <w:r>
        <w:rPr>
          <w:lang w:eastAsia="ja-JP" w:bidi="hi-IN"/>
        </w:rPr>
        <w:t>.  One factor (“antenna roll-off loss vs. frequency</w:t>
      </w:r>
      <w:r w:rsidR="00DC049B">
        <w:rPr>
          <w:lang w:eastAsia="ja-JP" w:bidi="hi-IN"/>
        </w:rPr>
        <w:t>”</w:t>
      </w:r>
      <w:r>
        <w:rPr>
          <w:lang w:eastAsia="ja-JP" w:bidi="hi-IN"/>
        </w:rPr>
        <w:t>) quantified the intra-band variation of peak EIRP.  This factor was d</w:t>
      </w:r>
      <w:r w:rsidR="00DC049B">
        <w:rPr>
          <w:lang w:eastAsia="ja-JP" w:bidi="hi-IN"/>
        </w:rPr>
        <w:t>escribed in the following way:</w:t>
      </w:r>
    </w:p>
    <w:p w:rsidR="00DC049B" w:rsidRPr="00DC049B" w:rsidRDefault="002A7C3D" w:rsidP="00DC049B">
      <w:pPr>
        <w:ind w:left="288"/>
        <w:rPr>
          <w:i/>
          <w:lang w:eastAsia="ja-JP" w:bidi="hi-IN"/>
        </w:rPr>
      </w:pPr>
      <w:r w:rsidRPr="00DC049B">
        <w:rPr>
          <w:i/>
          <w:lang w:eastAsia="ja-JP" w:bidi="hi-IN"/>
        </w:rPr>
        <w:t>Accounts for frequency-dependent degradation in element gain and assuming the antenna covers both frequency ranges</w:t>
      </w:r>
      <w:r w:rsidR="00BE227B" w:rsidRPr="00DC049B">
        <w:rPr>
          <w:i/>
          <w:lang w:eastAsia="ja-JP" w:bidi="hi-IN"/>
        </w:rPr>
        <w:t>.</w:t>
      </w:r>
    </w:p>
    <w:p w:rsidR="00DC049B" w:rsidRDefault="00DC049B" w:rsidP="00BD4194">
      <w:pPr>
        <w:rPr>
          <w:lang w:eastAsia="ja-JP" w:bidi="hi-IN"/>
        </w:rPr>
      </w:pPr>
    </w:p>
    <w:p w:rsidR="00BD4194" w:rsidRDefault="00BE227B" w:rsidP="00BD4194">
      <w:pPr>
        <w:rPr>
          <w:lang w:eastAsia="ja-JP" w:bidi="hi-IN"/>
        </w:rPr>
      </w:pPr>
      <w:r>
        <w:rPr>
          <w:lang w:eastAsia="ja-JP" w:bidi="hi-IN"/>
        </w:rPr>
        <w:t>It</w:t>
      </w:r>
      <w:r w:rsidR="002A7C3D">
        <w:rPr>
          <w:lang w:eastAsia="ja-JP" w:bidi="hi-IN"/>
        </w:rPr>
        <w:t xml:space="preserve"> </w:t>
      </w:r>
      <w:r>
        <w:rPr>
          <w:lang w:eastAsia="ja-JP" w:bidi="hi-IN"/>
        </w:rPr>
        <w:t>was quantified to have an impact between 0.5 and 3.0 dB (with the most common value of 2.0 dB) for 28 GHz and between 1.0 and 2.5 dB (with the most common value of 2.5 dB).</w:t>
      </w:r>
    </w:p>
    <w:p w:rsidR="00EE2255" w:rsidRDefault="00EE2255" w:rsidP="00BD4194">
      <w:pPr>
        <w:rPr>
          <w:lang w:eastAsia="ja-JP" w:bidi="hi-IN"/>
        </w:rPr>
      </w:pPr>
    </w:p>
    <w:p w:rsidR="00EE2255" w:rsidRDefault="00EE2255" w:rsidP="00BD4194">
      <w:pPr>
        <w:rPr>
          <w:lang w:eastAsia="ja-JP" w:bidi="hi-IN"/>
        </w:rPr>
      </w:pPr>
      <w:r w:rsidRPr="00EE2255">
        <w:rPr>
          <w:b/>
          <w:lang w:eastAsia="ja-JP" w:bidi="hi-IN"/>
        </w:rPr>
        <w:t xml:space="preserve">Observation </w:t>
      </w:r>
      <w:r w:rsidR="006A63DA">
        <w:rPr>
          <w:b/>
          <w:lang w:eastAsia="ja-JP" w:bidi="hi-IN"/>
        </w:rPr>
        <w:t>8</w:t>
      </w:r>
      <w:r>
        <w:rPr>
          <w:lang w:eastAsia="ja-JP" w:bidi="hi-IN"/>
        </w:rPr>
        <w:t>: The intra-band variation of peak EIRP is 2.0 dB for 28 GHz and 2.5 dB for 39 GHz.</w:t>
      </w:r>
    </w:p>
    <w:p w:rsidR="00BE227B" w:rsidRDefault="00BE227B" w:rsidP="00BD4194">
      <w:pPr>
        <w:rPr>
          <w:lang w:eastAsia="ja-JP" w:bidi="hi-IN"/>
        </w:rPr>
      </w:pPr>
    </w:p>
    <w:p w:rsidR="002A7C3D" w:rsidRDefault="00BE227B" w:rsidP="00BD4194">
      <w:pPr>
        <w:rPr>
          <w:lang w:eastAsia="ja-JP" w:bidi="hi-IN"/>
        </w:rPr>
      </w:pPr>
      <w:r>
        <w:rPr>
          <w:lang w:eastAsia="ja-JP" w:bidi="hi-IN"/>
        </w:rPr>
        <w:t xml:space="preserve">When considering spherical coverage performance of the UE, variation in gain for directions other than the beam peak direction also contributes to the overall performance.  To quantify this effect, Model 3 EIRP CDF performance was simulated at 8 frequency points:  </w:t>
      </w:r>
      <w:r w:rsidR="00D6157E">
        <w:rPr>
          <w:lang w:eastAsia="ja-JP" w:bidi="hi-IN"/>
        </w:rPr>
        <w:t>(</w:t>
      </w:r>
      <w:r>
        <w:rPr>
          <w:lang w:eastAsia="ja-JP" w:bidi="hi-IN"/>
        </w:rPr>
        <w:t>24, 26, 28, 30</w:t>
      </w:r>
      <w:r w:rsidR="00D6157E">
        <w:rPr>
          <w:lang w:eastAsia="ja-JP" w:bidi="hi-IN"/>
        </w:rPr>
        <w:t>)</w:t>
      </w:r>
      <w:r>
        <w:rPr>
          <w:lang w:eastAsia="ja-JP" w:bidi="hi-IN"/>
        </w:rPr>
        <w:t xml:space="preserve"> GHz and </w:t>
      </w:r>
      <w:r w:rsidR="00D6157E">
        <w:rPr>
          <w:lang w:eastAsia="ja-JP" w:bidi="hi-IN"/>
        </w:rPr>
        <w:t>(</w:t>
      </w:r>
      <w:r>
        <w:rPr>
          <w:lang w:eastAsia="ja-JP" w:bidi="hi-IN"/>
        </w:rPr>
        <w:t>37, 39, 41, 43</w:t>
      </w:r>
      <w:r w:rsidR="00D6157E">
        <w:rPr>
          <w:lang w:eastAsia="ja-JP" w:bidi="hi-IN"/>
        </w:rPr>
        <w:t>)</w:t>
      </w:r>
      <w:r>
        <w:rPr>
          <w:lang w:eastAsia="ja-JP" w:bidi="hi-IN"/>
        </w:rPr>
        <w:t xml:space="preserve"> GHz.  After normalizing the simulations, </w:t>
      </w:r>
      <w:r>
        <w:rPr>
          <w:lang w:eastAsia="ja-JP" w:bidi="hi-IN"/>
        </w:rPr>
        <w:fldChar w:fldCharType="begin"/>
      </w:r>
      <w:r>
        <w:rPr>
          <w:lang w:eastAsia="ja-JP" w:bidi="hi-IN"/>
        </w:rPr>
        <w:instrText xml:space="preserve"> REF _Ref513449793 \h </w:instrText>
      </w:r>
      <w:r>
        <w:rPr>
          <w:lang w:eastAsia="ja-JP" w:bidi="hi-IN"/>
        </w:rPr>
      </w:r>
      <w:r>
        <w:rPr>
          <w:lang w:eastAsia="ja-JP" w:bidi="hi-IN"/>
        </w:rPr>
        <w:fldChar w:fldCharType="separate"/>
      </w:r>
      <w:r w:rsidR="006A63DA">
        <w:t xml:space="preserve">Figure </w:t>
      </w:r>
      <w:r w:rsidR="006A63DA">
        <w:rPr>
          <w:noProof/>
        </w:rPr>
        <w:t>7</w:t>
      </w:r>
      <w:r>
        <w:rPr>
          <w:lang w:eastAsia="ja-JP" w:bidi="hi-IN"/>
        </w:rPr>
        <w:fldChar w:fldCharType="end"/>
      </w:r>
      <w:r>
        <w:rPr>
          <w:lang w:eastAsia="ja-JP" w:bidi="hi-IN"/>
        </w:rPr>
        <w:t xml:space="preserve"> below illustrates the intra-band variation of performance.</w:t>
      </w:r>
    </w:p>
    <w:p w:rsidR="002A7C3D" w:rsidRDefault="002A7C3D" w:rsidP="00BD4194">
      <w:pPr>
        <w:rPr>
          <w:lang w:eastAsia="ja-JP" w:bidi="hi-IN"/>
        </w:rPr>
      </w:pPr>
    </w:p>
    <w:p w:rsidR="002A7C3D" w:rsidRPr="00BD4194" w:rsidRDefault="002A7C3D" w:rsidP="00BD4194">
      <w:pPr>
        <w:rPr>
          <w:lang w:eastAsia="ja-JP" w:bidi="hi-IN"/>
        </w:rPr>
      </w:pPr>
    </w:p>
    <w:p w:rsidR="002A5D92" w:rsidRDefault="002A5D92" w:rsidP="002A5D92">
      <w:pPr>
        <w:keepNext/>
        <w:jc w:val="center"/>
      </w:pPr>
      <w:r>
        <w:t>a)</w:t>
      </w:r>
      <w:r w:rsidR="00A879F9" w:rsidRPr="00A879F9">
        <w:rPr>
          <w:noProof/>
        </w:rPr>
        <w:t xml:space="preserve"> </w:t>
      </w:r>
      <w:r w:rsidR="00A879F9" w:rsidRPr="00A879F9">
        <w:rPr>
          <w:noProof/>
        </w:rPr>
        <w:drawing>
          <wp:inline distT="0" distB="0" distL="0" distR="0" wp14:anchorId="35B04C41" wp14:editId="4C5C67D1">
            <wp:extent cx="2641600" cy="2070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41600" cy="2070100"/>
                    </a:xfrm>
                    <a:prstGeom prst="rect">
                      <a:avLst/>
                    </a:prstGeom>
                  </pic:spPr>
                </pic:pic>
              </a:graphicData>
            </a:graphic>
          </wp:inline>
        </w:drawing>
      </w:r>
      <w:r>
        <w:t>b)</w:t>
      </w:r>
      <w:r w:rsidR="00A879F9" w:rsidRPr="00A879F9">
        <w:rPr>
          <w:noProof/>
        </w:rPr>
        <w:t xml:space="preserve"> </w:t>
      </w:r>
      <w:r w:rsidR="00A879F9" w:rsidRPr="00A879F9">
        <w:rPr>
          <w:noProof/>
        </w:rPr>
        <w:drawing>
          <wp:inline distT="0" distB="0" distL="0" distR="0" wp14:anchorId="7A4BD3F3" wp14:editId="403820C2">
            <wp:extent cx="2641600" cy="2095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41600" cy="2095500"/>
                    </a:xfrm>
                    <a:prstGeom prst="rect">
                      <a:avLst/>
                    </a:prstGeom>
                  </pic:spPr>
                </pic:pic>
              </a:graphicData>
            </a:graphic>
          </wp:inline>
        </w:drawing>
      </w:r>
      <w:r w:rsidRPr="002A5D92">
        <w:rPr>
          <w:noProof/>
        </w:rPr>
        <w:t xml:space="preserve"> </w:t>
      </w:r>
    </w:p>
    <w:p w:rsidR="002A5D92" w:rsidRDefault="002A5D92" w:rsidP="002A5D92">
      <w:pPr>
        <w:pStyle w:val="Caption"/>
        <w:jc w:val="center"/>
        <w:rPr>
          <w:noProof/>
        </w:rPr>
      </w:pPr>
      <w:bookmarkStart w:id="8" w:name="_Ref513449793"/>
      <w:r>
        <w:t xml:space="preserve">Figure </w:t>
      </w:r>
      <w:fldSimple w:instr=" SEQ Figure \* ARABIC ">
        <w:r w:rsidR="006A63DA">
          <w:rPr>
            <w:noProof/>
          </w:rPr>
          <w:t>7</w:t>
        </w:r>
      </w:fldSimple>
      <w:bookmarkEnd w:id="8"/>
      <w:r>
        <w:t xml:space="preserve">: EIRP CDF variation across a) 28 GHz and b) 39 GHz bands </w:t>
      </w:r>
    </w:p>
    <w:p w:rsidR="002A5D92" w:rsidRDefault="002A5D92" w:rsidP="008303FD"/>
    <w:p w:rsidR="00EE2255" w:rsidRDefault="00EE2255" w:rsidP="00EE2255">
      <w:r w:rsidRPr="00EE2255">
        <w:rPr>
          <w:b/>
        </w:rPr>
        <w:lastRenderedPageBreak/>
        <w:t xml:space="preserve">Observation </w:t>
      </w:r>
      <w:r w:rsidR="006A63DA">
        <w:rPr>
          <w:b/>
        </w:rPr>
        <w:t>9</w:t>
      </w:r>
      <w:r>
        <w:t xml:space="preserve">: </w:t>
      </w:r>
      <w:r w:rsidR="00BE227B">
        <w:t xml:space="preserve">Over the </w:t>
      </w:r>
      <w:r w:rsidR="002A5D92" w:rsidRPr="002A5D92">
        <w:t xml:space="preserve">28 GHz </w:t>
      </w:r>
      <w:r w:rsidR="00BE227B">
        <w:t>frequency range, performance at the 50%-tile CDF has a spread of</w:t>
      </w:r>
      <w:r w:rsidR="002A5D92" w:rsidRPr="002A5D92">
        <w:t xml:space="preserve"> 2.8 dB </w:t>
      </w:r>
      <w:r w:rsidR="00BE227B">
        <w:t xml:space="preserve">compared to the </w:t>
      </w:r>
      <w:r w:rsidR="002A5D92" w:rsidRPr="002A5D92">
        <w:t xml:space="preserve">2.0 dB </w:t>
      </w:r>
      <w:r w:rsidR="00BE227B">
        <w:t>assumption for peak EIRP</w:t>
      </w:r>
      <w:r>
        <w:t>.</w:t>
      </w:r>
    </w:p>
    <w:p w:rsidR="00EE2255" w:rsidRDefault="00EE2255" w:rsidP="00EE2255"/>
    <w:p w:rsidR="002A5D92" w:rsidRPr="002A5D92" w:rsidRDefault="00EE2255" w:rsidP="00EE2255">
      <w:r w:rsidRPr="00EE2255">
        <w:rPr>
          <w:b/>
        </w:rPr>
        <w:t xml:space="preserve">Observation </w:t>
      </w:r>
      <w:r w:rsidR="006A63DA">
        <w:rPr>
          <w:b/>
        </w:rPr>
        <w:t>10</w:t>
      </w:r>
      <w:r>
        <w:t xml:space="preserve">: </w:t>
      </w:r>
      <w:r w:rsidR="00BE227B">
        <w:t xml:space="preserve">Over the </w:t>
      </w:r>
      <w:r w:rsidR="002A5D92" w:rsidRPr="002A5D92">
        <w:t xml:space="preserve">39 GHz </w:t>
      </w:r>
      <w:r w:rsidR="00BE227B">
        <w:t xml:space="preserve">frequency </w:t>
      </w:r>
      <w:r w:rsidR="002A5D92" w:rsidRPr="002A5D92">
        <w:t>range</w:t>
      </w:r>
      <w:r w:rsidR="00BE227B">
        <w:t>, performance at the 50%-tile CDF has a spread of</w:t>
      </w:r>
      <w:r w:rsidR="002A5D92" w:rsidRPr="002A5D92">
        <w:t xml:space="preserve"> 4.6 dB </w:t>
      </w:r>
      <w:r w:rsidR="00BE227B">
        <w:t>compared to the 2.5 dB assumption for EIRP</w:t>
      </w:r>
      <w:r>
        <w:t>.</w:t>
      </w:r>
    </w:p>
    <w:p w:rsidR="00A450FC" w:rsidRDefault="00A450FC" w:rsidP="00A450FC"/>
    <w:p w:rsidR="00EE2255" w:rsidRDefault="00A450FC" w:rsidP="008303FD">
      <w:r>
        <w:t>Because the FR2 power class definition defines limits on minimum performance, rather than nominal, the requirement needs to take into account the intra-</w:t>
      </w:r>
      <w:r w:rsidR="00D6157E">
        <w:t>band</w:t>
      </w:r>
      <w:r>
        <w:t xml:space="preserve"> variability of the E</w:t>
      </w:r>
      <w:r w:rsidR="00EE2255">
        <w:t>IRP CDF.</w:t>
      </w:r>
    </w:p>
    <w:p w:rsidR="00EE2255" w:rsidRDefault="00EE2255" w:rsidP="008303FD"/>
    <w:p w:rsidR="00362514" w:rsidRDefault="00EE2255" w:rsidP="008303FD">
      <w:r w:rsidRPr="00EE2255">
        <w:rPr>
          <w:b/>
        </w:rPr>
        <w:t xml:space="preserve">Observation </w:t>
      </w:r>
      <w:r w:rsidR="006A63DA">
        <w:rPr>
          <w:b/>
        </w:rPr>
        <w:t>11</w:t>
      </w:r>
      <w:r>
        <w:t xml:space="preserve">: </w:t>
      </w:r>
      <w:r w:rsidR="00A450FC">
        <w:t>Based on the above observations</w:t>
      </w:r>
      <w:r w:rsidR="00905598">
        <w:t>,</w:t>
      </w:r>
      <w:r w:rsidR="00A450FC">
        <w:t xml:space="preserve"> i</w:t>
      </w:r>
      <w:r w:rsidR="002A5D92" w:rsidRPr="002A5D92">
        <w:t>ntra-band variation of the CDF exceeds the variation of the peak</w:t>
      </w:r>
      <w:r w:rsidR="00A450FC">
        <w:t xml:space="preserve"> by</w:t>
      </w:r>
      <w:r w:rsidR="002A5D92" w:rsidRPr="002A5D92">
        <w:t xml:space="preserve"> </w:t>
      </w:r>
      <w:r w:rsidR="00A450FC">
        <w:t>a margin</w:t>
      </w:r>
      <w:r w:rsidR="002A5D92" w:rsidRPr="002A5D92">
        <w:t xml:space="preserve"> of </w:t>
      </w:r>
      <w:r w:rsidR="00A879F9">
        <w:rPr>
          <w:bCs/>
        </w:rPr>
        <w:t>0.8</w:t>
      </w:r>
      <w:r w:rsidR="00A450FC">
        <w:rPr>
          <w:bCs/>
        </w:rPr>
        <w:t xml:space="preserve"> dB for 28 GHz and by a margin of </w:t>
      </w:r>
      <w:r w:rsidR="000B2619">
        <w:rPr>
          <w:bCs/>
        </w:rPr>
        <w:t>2.1</w:t>
      </w:r>
      <w:r w:rsidR="002A5D92" w:rsidRPr="002A5D92">
        <w:t xml:space="preserve"> dB </w:t>
      </w:r>
      <w:r w:rsidR="00A450FC">
        <w:t>for 39 G</w:t>
      </w:r>
      <w:r w:rsidR="008D722D">
        <w:t>h</w:t>
      </w:r>
      <w:r w:rsidR="00A450FC">
        <w:t>z.</w:t>
      </w:r>
    </w:p>
    <w:p w:rsidR="00D351E7" w:rsidRDefault="00D351E7" w:rsidP="00D351E7">
      <w:pPr>
        <w:pStyle w:val="Heading3"/>
      </w:pPr>
      <w:r>
        <w:t>Multi-band considerations</w:t>
      </w:r>
    </w:p>
    <w:p w:rsidR="00D351E7" w:rsidRDefault="00D351E7" w:rsidP="00D351E7">
      <w:r>
        <w:t xml:space="preserve">Considering the extension of the 39 GHz range up to 43 GHz </w:t>
      </w:r>
      <w:r>
        <w:fldChar w:fldCharType="begin"/>
      </w:r>
      <w:r>
        <w:instrText xml:space="preserve"> REF _Ref513477250 \r \h </w:instrText>
      </w:r>
      <w:r>
        <w:fldChar w:fldCharType="separate"/>
      </w:r>
      <w:r w:rsidR="006A63DA">
        <w:t>[9]</w:t>
      </w:r>
      <w:r>
        <w:fldChar w:fldCharType="end"/>
      </w:r>
      <w:r>
        <w:t xml:space="preserve">, as well as the latest listing of NR FR2 band ranges, </w:t>
      </w:r>
      <w:r>
        <w:fldChar w:fldCharType="begin"/>
      </w:r>
      <w:r>
        <w:instrText xml:space="preserve"> REF _Ref513477293 \h </w:instrText>
      </w:r>
      <w:r>
        <w:fldChar w:fldCharType="separate"/>
      </w:r>
      <w:r w:rsidR="006A63DA">
        <w:t xml:space="preserve">Figure </w:t>
      </w:r>
      <w:r w:rsidR="006A63DA">
        <w:rPr>
          <w:noProof/>
        </w:rPr>
        <w:t>8</w:t>
      </w:r>
      <w:r>
        <w:fldChar w:fldCharType="end"/>
      </w:r>
      <w:r>
        <w:t xml:space="preserve"> below illustrates the 3GPP NR FR2 bands in the scope of Rel-15 work.</w:t>
      </w:r>
    </w:p>
    <w:p w:rsidR="00D351E7" w:rsidRDefault="00D351E7" w:rsidP="00D351E7"/>
    <w:p w:rsidR="00D351E7" w:rsidRDefault="00D351E7" w:rsidP="00D351E7">
      <w:pPr>
        <w:keepNext/>
        <w:jc w:val="center"/>
      </w:pPr>
      <w:r w:rsidRPr="00D642FA">
        <w:rPr>
          <w:noProof/>
        </w:rPr>
        <w:drawing>
          <wp:inline distT="0" distB="0" distL="0" distR="0" wp14:anchorId="359706CB" wp14:editId="7DEC57EF">
            <wp:extent cx="4787900" cy="2336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87900" cy="2336800"/>
                    </a:xfrm>
                    <a:prstGeom prst="rect">
                      <a:avLst/>
                    </a:prstGeom>
                  </pic:spPr>
                </pic:pic>
              </a:graphicData>
            </a:graphic>
          </wp:inline>
        </w:drawing>
      </w:r>
    </w:p>
    <w:p w:rsidR="00D351E7" w:rsidRDefault="00D351E7" w:rsidP="00D351E7">
      <w:pPr>
        <w:pStyle w:val="Caption"/>
        <w:jc w:val="center"/>
      </w:pPr>
      <w:bookmarkStart w:id="9" w:name="_Ref513477293"/>
      <w:r>
        <w:t xml:space="preserve">Figure </w:t>
      </w:r>
      <w:fldSimple w:instr=" SEQ Figure \* ARABIC ">
        <w:r w:rsidR="006A63DA">
          <w:rPr>
            <w:noProof/>
          </w:rPr>
          <w:t>8</w:t>
        </w:r>
      </w:fldSimple>
      <w:bookmarkEnd w:id="9"/>
      <w:r>
        <w:t>: 3GPP NR FR2 Bands (Rel-15)</w:t>
      </w:r>
    </w:p>
    <w:p w:rsidR="00D351E7" w:rsidRDefault="00D351E7" w:rsidP="00D351E7"/>
    <w:p w:rsidR="00D351E7" w:rsidRDefault="00D351E7" w:rsidP="00D351E7">
      <w:r>
        <w:t xml:space="preserve">Because the power class requirement is release-independent, future FR2 UEs will be expected to fulfill this requirement regardless of how many other FR2 bands they support.  Thus, the challenge for a practical UE implementation is to meet the power class requirement for all supported bands jointly.  Although highly implementation-specific, the general observation is that for a handset to support more bands, a trade-off between performance and volume available for the antennas needs to be considered.  Related work on TRP/TRS requirements for LTE UEs developed a framework based on this understanding </w:t>
      </w:r>
      <w:r>
        <w:fldChar w:fldCharType="begin"/>
      </w:r>
      <w:r>
        <w:instrText xml:space="preserve"> REF _Ref513478087 \r \h </w:instrText>
      </w:r>
      <w:r>
        <w:fldChar w:fldCharType="separate"/>
      </w:r>
      <w:r w:rsidR="006A63DA">
        <w:t>[10]</w:t>
      </w:r>
      <w:r>
        <w:fldChar w:fldCharType="end"/>
      </w:r>
      <w:r>
        <w:t>:</w:t>
      </w:r>
    </w:p>
    <w:p w:rsidR="00D351E7" w:rsidRPr="00A92DBC" w:rsidRDefault="00D351E7" w:rsidP="00D351E7">
      <w:pPr>
        <w:ind w:left="288"/>
        <w:rPr>
          <w:i/>
        </w:rPr>
      </w:pPr>
      <w:r w:rsidRPr="00A92DBC">
        <w:rPr>
          <w:i/>
        </w:rPr>
        <w:t>A second framework was elaborated by observing that UEs supporting multiple bands must pass the OTA requirements for all applicable bands in order to achieve certification and by introducing the evaluation of a joint band passing rate (JBPR) based on the comparison of the potential requirements against the measured OTA performances over a selected set of bands and evaluating the ratio of the number of passed UEs over the total number of UEs.</w:t>
      </w:r>
    </w:p>
    <w:p w:rsidR="00D351E7" w:rsidRDefault="00D351E7" w:rsidP="00D351E7"/>
    <w:p w:rsidR="00D351E7" w:rsidRDefault="00D351E7" w:rsidP="00D351E7">
      <w:r>
        <w:t xml:space="preserve">Considering that the process of new band definition is an operator-driven and market-dependent activity, some discussions in 3GPP are relevant as possible indications of trends.  Thus, the spectrum sharing study performed by 3GPP as input to the ITU-R WP5D effort can be a useful example.  The outcome of the discussion related to frequency ranges considered in the spectrum sharing study was captured in </w:t>
      </w:r>
      <w:r>
        <w:fldChar w:fldCharType="begin"/>
      </w:r>
      <w:r>
        <w:instrText xml:space="preserve"> REF _Ref513485428 \r \h </w:instrText>
      </w:r>
      <w:r>
        <w:fldChar w:fldCharType="separate"/>
      </w:r>
      <w:r w:rsidR="006A63DA">
        <w:t>[11]</w:t>
      </w:r>
      <w:r>
        <w:fldChar w:fldCharType="end"/>
      </w:r>
      <w:r>
        <w:t>:</w:t>
      </w:r>
    </w:p>
    <w:p w:rsidR="00D351E7" w:rsidRDefault="00D351E7" w:rsidP="00D351E7"/>
    <w:p w:rsidR="00D351E7" w:rsidRDefault="00D351E7" w:rsidP="00D351E7">
      <w:r>
        <w:rPr>
          <w:noProof/>
        </w:rPr>
        <w:lastRenderedPageBreak/>
        <mc:AlternateContent>
          <mc:Choice Requires="wps">
            <w:drawing>
              <wp:inline distT="0" distB="0" distL="0" distR="0" wp14:anchorId="6EF662E2" wp14:editId="7D3C6A10">
                <wp:extent cx="6496215" cy="390144"/>
                <wp:effectExtent l="0" t="0" r="19050" b="19050"/>
                <wp:docPr id="2" name="Text Box 2"/>
                <wp:cNvGraphicFramePr/>
                <a:graphic xmlns:a="http://schemas.openxmlformats.org/drawingml/2006/main">
                  <a:graphicData uri="http://schemas.microsoft.com/office/word/2010/wordprocessingShape">
                    <wps:wsp>
                      <wps:cNvSpPr txBox="1"/>
                      <wps:spPr>
                        <a:xfrm>
                          <a:off x="0" y="0"/>
                          <a:ext cx="6496215" cy="390144"/>
                        </a:xfrm>
                        <a:prstGeom prst="rect">
                          <a:avLst/>
                        </a:prstGeom>
                        <a:solidFill>
                          <a:schemeClr val="lt1"/>
                        </a:solidFill>
                        <a:ln w="6350">
                          <a:solidFill>
                            <a:prstClr val="black"/>
                          </a:solidFill>
                        </a:ln>
                      </wps:spPr>
                      <wps:txbx>
                        <w:txbxContent>
                          <w:p w:rsidR="001F38B3" w:rsidRPr="002D68B2" w:rsidRDefault="001F38B3" w:rsidP="00D351E7">
                            <w:pPr>
                              <w:numPr>
                                <w:ilvl w:val="0"/>
                                <w:numId w:val="9"/>
                              </w:numPr>
                              <w:rPr>
                                <w:sz w:val="20"/>
                                <w:szCs w:val="20"/>
                              </w:rPr>
                            </w:pPr>
                            <w:r w:rsidRPr="002D68B2">
                              <w:rPr>
                                <w:rFonts w:hint="eastAsia"/>
                                <w:sz w:val="20"/>
                                <w:szCs w:val="20"/>
                              </w:rPr>
                              <w:t>Candidates were proposed for task by WP 5D in R4#78BIS.</w:t>
                            </w:r>
                          </w:p>
                          <w:p w:rsidR="001F38B3" w:rsidRPr="002D68B2" w:rsidRDefault="001F38B3" w:rsidP="00D351E7">
                            <w:pPr>
                              <w:numPr>
                                <w:ilvl w:val="0"/>
                                <w:numId w:val="9"/>
                              </w:numPr>
                              <w:rPr>
                                <w:sz w:val="20"/>
                                <w:szCs w:val="20"/>
                              </w:rPr>
                            </w:pPr>
                            <w:r w:rsidRPr="002D68B2">
                              <w:rPr>
                                <w:rFonts w:hint="eastAsia"/>
                                <w:sz w:val="20"/>
                                <w:szCs w:val="20"/>
                              </w:rPr>
                              <w:t>In addition to the above, the following was shared in RAN4 reflector during in R4#78BIS.</w:t>
                            </w:r>
                          </w:p>
                          <w:p w:rsidR="001F38B3" w:rsidRPr="002D68B2" w:rsidRDefault="001F38B3" w:rsidP="00D351E7">
                            <w:pPr>
                              <w:numPr>
                                <w:ilvl w:val="1"/>
                                <w:numId w:val="9"/>
                              </w:numPr>
                              <w:rPr>
                                <w:sz w:val="20"/>
                                <w:szCs w:val="20"/>
                              </w:rPr>
                            </w:pPr>
                            <w:r w:rsidRPr="002D68B2">
                              <w:rPr>
                                <w:rFonts w:hint="eastAsia"/>
                                <w:sz w:val="20"/>
                                <w:szCs w:val="20"/>
                              </w:rPr>
                              <w:t>IMT candidate bands in AI 1.13 had been divided into the following sub-frequency ranges: 24.25-33.4GHz, 37-43.5GHz, 45.5-52.6GHz and 66-86GHz</w:t>
                            </w:r>
                          </w:p>
                          <w:p w:rsidR="001F38B3" w:rsidRPr="002D68B2" w:rsidRDefault="001F38B3" w:rsidP="00D351E7">
                            <w:pPr>
                              <w:numPr>
                                <w:ilvl w:val="1"/>
                                <w:numId w:val="9"/>
                              </w:numPr>
                              <w:rPr>
                                <w:sz w:val="20"/>
                                <w:szCs w:val="20"/>
                              </w:rPr>
                            </w:pPr>
                            <w:r w:rsidRPr="002D68B2">
                              <w:rPr>
                                <w:rFonts w:hint="eastAsia"/>
                                <w:sz w:val="20"/>
                                <w:szCs w:val="20"/>
                              </w:rPr>
                              <w:t>There is a following note in section 5.3 in ITU-R WP5D#23 meeting report.</w:t>
                            </w:r>
                          </w:p>
                          <w:p w:rsidR="001F38B3" w:rsidRPr="002D68B2" w:rsidRDefault="001F38B3" w:rsidP="00D351E7">
                            <w:pPr>
                              <w:ind w:left="1440"/>
                              <w:rPr>
                                <w:sz w:val="20"/>
                                <w:szCs w:val="20"/>
                              </w:rPr>
                            </w:pPr>
                            <w:r w:rsidRPr="002D68B2">
                              <w:rPr>
                                <w:rFonts w:hint="eastAsia"/>
                                <w:i/>
                                <w:iCs/>
                                <w:sz w:val="20"/>
                                <w:szCs w:val="20"/>
                              </w:rPr>
                              <w:t>[Editor’s note: This section includes Tables of deployment parameters for Base station and User terminal in different frequency ranges. IMT candidate bands in AI 1.13 are between 24 GHz and 86 GHz, and that frequency range is very wide. Therefore, following sub-frequency ranges will be considered: 24.25-33.4 GHz, 37-43.5 GHz, 45.5-52.6 GHz and 66-86 GHz.]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EF662E2" id="_x0000_s1029" type="#_x0000_t202" style="width:511.5pt;height:3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Wl17TgIAAKgEAAAOAAAAZHJzL2Uyb0RvYy54bWysVE2P2jAQvVfqf7B8Lwnho0tEWFFWVJXQ&#13;&#10;7kpQ7dk4DkR1PK5tSOiv79hJWHbbU9WLGc+8PM+8mWF+31SSnIWxJaiMDgcxJUJxyEt1yOj33frT&#13;&#10;HSXWMZUzCUpk9CIsvV98/DCvdSoSOILMhSFIomxa64wendNpFFl+FBWzA9BCYbAAUzGHV3OIcsNq&#13;&#10;ZK9klMTxNKrB5NoAF9ai96EN0kXgLwrB3VNRWOGIzCjm5sJpwrn3Z7SYs/RgmD6WvEuD/UMWFSsV&#13;&#10;PnqlemCOkZMp/6CqSm7AQuEGHKoIiqLkItSA1Qzjd9Vsj0yLUAuKY/VVJvv/aPnj+dmQMs9oQoli&#13;&#10;FbZoJxpHvkBDEq9OrW2KoK1GmGvQjV3u/RadvuimMJX/xXIIxlHny1VbT8bROR3PpslwQgnH2GgW&#13;&#10;D8djTxO9fq2NdV8FVMQbGTXYuyApO2+sa6E9xD9mQZb5upQyXPy8iJU05Myw09KFHJH8DUoqUmMm&#13;&#10;o0kciN/EPPX1+71k/EeX3g0K+aTCnL0mbe3ecs2+CQqOel32kF9QLgPtuFnN1yXSb5h1z8zgfKFC&#13;&#10;uDPuCY9CAuYEnUXJEcyvv/k9HtuOUUpqnNeM2p8nZgQl8pvCgZihoH7Aw2U8+ZzgxdxG9rcRdapW&#13;&#10;gEINcTs1D6bHO9mbhYHqBVdr6V/FEFMc386o682Va7cIV5OL5TKAcKQ1cxu11dxT+8Z4WXfNCzO6&#13;&#10;a6vDgXiEfrJZ+q67LTa0VC9PDtZlaL3XuVW1kx/XIQxPt7p+327vAfX6B7P4DQAA//8DAFBLAwQU&#13;&#10;AAYACAAAACEAcFLehd4AAAAKAQAADwAAAGRycy9kb3ducmV2LnhtbEyPQUvDQBCF74L/YRnBi7Sb&#13;&#10;RCmSZlPEojcFo9AeJ9npJpidDdltk/57t1708uDxmDfvKzaz7cWJRt85VpAuExDEjdMdGwVfny+L&#13;&#10;RxA+IGvsHZOCM3nYlNdXBebaTfxBpyoYEUvY56igDWHIpfRNSxb90g3EMTu40WKIdjRSjzjFctvL&#13;&#10;LElW0mLH8UOLAz231HxXR6vgcDdV+j2t5/3OZLstmtezecuUur2Zt+soT2sQgebwdwEXhrgfyjis&#13;&#10;dkfWXvQKIk341UuWZPfR1wpW6QPIspD/EcofAAAA//8DAFBLAQItABQABgAIAAAAIQC2gziS/gAA&#13;&#10;AOEBAAATAAAAAAAAAAAAAAAAAAAAAABbQ29udGVudF9UeXBlc10ueG1sUEsBAi0AFAAGAAgAAAAh&#13;&#10;ADj9If/WAAAAlAEAAAsAAAAAAAAAAAAAAAAALwEAAF9yZWxzLy5yZWxzUEsBAi0AFAAGAAgAAAAh&#13;&#10;AHtaXXtOAgAAqAQAAA4AAAAAAAAAAAAAAAAALgIAAGRycy9lMm9Eb2MueG1sUEsBAi0AFAAGAAgA&#13;&#10;AAAhAHBS3oXeAAAACgEAAA8AAAAAAAAAAAAAAAAAqAQAAGRycy9kb3ducmV2LnhtbFBLBQYAAAAA&#13;&#10;BAAEAPMAAACzBQAAAAA=&#13;&#10;" fillcolor="white [3201]" strokeweight=".5pt">
                <v:textbox style="mso-fit-shape-to-text:t">
                  <w:txbxContent>
                    <w:p w:rsidR="001F38B3" w:rsidRPr="002D68B2" w:rsidRDefault="001F38B3" w:rsidP="00D351E7">
                      <w:pPr>
                        <w:numPr>
                          <w:ilvl w:val="0"/>
                          <w:numId w:val="9"/>
                        </w:numPr>
                        <w:rPr>
                          <w:sz w:val="20"/>
                          <w:szCs w:val="20"/>
                        </w:rPr>
                      </w:pPr>
                      <w:r w:rsidRPr="002D68B2">
                        <w:rPr>
                          <w:rFonts w:hint="eastAsia"/>
                          <w:sz w:val="20"/>
                          <w:szCs w:val="20"/>
                        </w:rPr>
                        <w:t>Candidates were proposed for task by WP 5D in R4#78BIS.</w:t>
                      </w:r>
                    </w:p>
                    <w:p w:rsidR="001F38B3" w:rsidRPr="002D68B2" w:rsidRDefault="001F38B3" w:rsidP="00D351E7">
                      <w:pPr>
                        <w:numPr>
                          <w:ilvl w:val="0"/>
                          <w:numId w:val="9"/>
                        </w:numPr>
                        <w:rPr>
                          <w:sz w:val="20"/>
                          <w:szCs w:val="20"/>
                        </w:rPr>
                      </w:pPr>
                      <w:r w:rsidRPr="002D68B2">
                        <w:rPr>
                          <w:rFonts w:hint="eastAsia"/>
                          <w:sz w:val="20"/>
                          <w:szCs w:val="20"/>
                        </w:rPr>
                        <w:t>In addition to the above, the following was shared in RAN4 reflector during in R4#78BIS.</w:t>
                      </w:r>
                    </w:p>
                    <w:p w:rsidR="001F38B3" w:rsidRPr="002D68B2" w:rsidRDefault="001F38B3" w:rsidP="00D351E7">
                      <w:pPr>
                        <w:numPr>
                          <w:ilvl w:val="1"/>
                          <w:numId w:val="9"/>
                        </w:numPr>
                        <w:rPr>
                          <w:sz w:val="20"/>
                          <w:szCs w:val="20"/>
                        </w:rPr>
                      </w:pPr>
                      <w:r w:rsidRPr="002D68B2">
                        <w:rPr>
                          <w:rFonts w:hint="eastAsia"/>
                          <w:sz w:val="20"/>
                          <w:szCs w:val="20"/>
                        </w:rPr>
                        <w:t>IMT candidate bands in AI 1.13 had been divided into the following sub-frequency ranges: 24.25-33.4GHz, 37-43.5GHz, 45.5-52.6GHz and 66-86GHz</w:t>
                      </w:r>
                    </w:p>
                    <w:p w:rsidR="001F38B3" w:rsidRPr="002D68B2" w:rsidRDefault="001F38B3" w:rsidP="00D351E7">
                      <w:pPr>
                        <w:numPr>
                          <w:ilvl w:val="1"/>
                          <w:numId w:val="9"/>
                        </w:numPr>
                        <w:rPr>
                          <w:sz w:val="20"/>
                          <w:szCs w:val="20"/>
                        </w:rPr>
                      </w:pPr>
                      <w:r w:rsidRPr="002D68B2">
                        <w:rPr>
                          <w:rFonts w:hint="eastAsia"/>
                          <w:sz w:val="20"/>
                          <w:szCs w:val="20"/>
                        </w:rPr>
                        <w:t>There is a following note in section 5.3 in ITU-R WP5D#23 meeting report.</w:t>
                      </w:r>
                    </w:p>
                    <w:p w:rsidR="001F38B3" w:rsidRPr="002D68B2" w:rsidRDefault="001F38B3" w:rsidP="00D351E7">
                      <w:pPr>
                        <w:ind w:left="1440"/>
                        <w:rPr>
                          <w:sz w:val="20"/>
                          <w:szCs w:val="20"/>
                        </w:rPr>
                      </w:pPr>
                      <w:r w:rsidRPr="002D68B2">
                        <w:rPr>
                          <w:rFonts w:hint="eastAsia"/>
                          <w:i/>
                          <w:iCs/>
                          <w:sz w:val="20"/>
                          <w:szCs w:val="20"/>
                        </w:rPr>
                        <w:t>[Editor’s note: This section includes Tables of deployment parameters for Base station and User terminal in different frequency ranges. IMT candidate bands in AI 1.13 are between 24 GHz and 86 GHz, and that frequency range is very wide. Therefore, following sub-frequency ranges will be considered: 24.25-33.4 GHz, 37-43.5 GHz, 45.5-52.6 GHz and 66-86 GHz.]</w:t>
                      </w:r>
                    </w:p>
                  </w:txbxContent>
                </v:textbox>
                <w10:anchorlock/>
              </v:shape>
            </w:pict>
          </mc:Fallback>
        </mc:AlternateContent>
      </w:r>
    </w:p>
    <w:p w:rsidR="00D351E7" w:rsidRDefault="00D351E7" w:rsidP="00D351E7"/>
    <w:p w:rsidR="00D351E7" w:rsidRDefault="00D351E7" w:rsidP="00D351E7">
      <w:r>
        <w:t xml:space="preserve">A graphical illustration of these frequency ranges is given in </w:t>
      </w:r>
      <w:r>
        <w:fldChar w:fldCharType="begin"/>
      </w:r>
      <w:r>
        <w:instrText xml:space="preserve"> REF _Ref513485588 \h </w:instrText>
      </w:r>
      <w:r>
        <w:fldChar w:fldCharType="separate"/>
      </w:r>
      <w:r w:rsidR="006A63DA">
        <w:t xml:space="preserve">Figure </w:t>
      </w:r>
      <w:r w:rsidR="006A63DA">
        <w:rPr>
          <w:noProof/>
        </w:rPr>
        <w:t>9</w:t>
      </w:r>
      <w:r>
        <w:fldChar w:fldCharType="end"/>
      </w:r>
      <w:r>
        <w:t xml:space="preserve"> below.</w:t>
      </w:r>
    </w:p>
    <w:p w:rsidR="00D351E7" w:rsidRDefault="00D351E7" w:rsidP="00D351E7"/>
    <w:p w:rsidR="00D351E7" w:rsidRDefault="00801FC8" w:rsidP="00D351E7">
      <w:pPr>
        <w:keepNext/>
        <w:jc w:val="center"/>
      </w:pPr>
      <w:r w:rsidRPr="00801FC8">
        <w:rPr>
          <w:noProof/>
        </w:rPr>
        <w:drawing>
          <wp:inline distT="0" distB="0" distL="0" distR="0" wp14:anchorId="3FA8F08C" wp14:editId="42C3816C">
            <wp:extent cx="4711700" cy="2336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11700" cy="2336800"/>
                    </a:xfrm>
                    <a:prstGeom prst="rect">
                      <a:avLst/>
                    </a:prstGeom>
                  </pic:spPr>
                </pic:pic>
              </a:graphicData>
            </a:graphic>
          </wp:inline>
        </w:drawing>
      </w:r>
    </w:p>
    <w:p w:rsidR="00D351E7" w:rsidRDefault="00D351E7" w:rsidP="00D351E7">
      <w:pPr>
        <w:pStyle w:val="Caption"/>
        <w:jc w:val="center"/>
      </w:pPr>
      <w:bookmarkStart w:id="10" w:name="_Ref513485588"/>
      <w:r>
        <w:t xml:space="preserve">Figure </w:t>
      </w:r>
      <w:fldSimple w:instr=" SEQ Figure \* ARABIC ">
        <w:r w:rsidR="006A63DA">
          <w:rPr>
            <w:noProof/>
          </w:rPr>
          <w:t>9</w:t>
        </w:r>
      </w:fldSimple>
      <w:bookmarkEnd w:id="10"/>
      <w:r>
        <w:t xml:space="preserve">: Potential NR frequency ranges above </w:t>
      </w:r>
      <w:r w:rsidR="00801FC8">
        <w:t>24</w:t>
      </w:r>
      <w:r>
        <w:t xml:space="preserve"> GHz</w:t>
      </w:r>
    </w:p>
    <w:p w:rsidR="00D351E7" w:rsidRDefault="00D351E7" w:rsidP="00D351E7"/>
    <w:p w:rsidR="00801FC8" w:rsidRDefault="00801FC8" w:rsidP="00D351E7">
      <w:r>
        <w:t>We note that the frequency range between 6 GHz and 24 GHz has yet to be addressed in 3GPP NR discussions.</w:t>
      </w:r>
    </w:p>
    <w:p w:rsidR="00801FC8" w:rsidRDefault="00801FC8" w:rsidP="00D351E7"/>
    <w:p w:rsidR="00D351E7" w:rsidRDefault="00D351E7" w:rsidP="00D351E7">
      <w:r>
        <w:t>One approach to quantify the impact of multi-band support on each band-specific requirement is to ut</w:t>
      </w:r>
      <w:r w:rsidR="00585D33">
        <w:t>i</w:t>
      </w:r>
      <w:r>
        <w:t>lize measurements of real devices, which have optimized their performance across a range of supported bands, to derive the requirements per band.  However, when the task is to determine the requirements based on simulation results and, in some cases, based on measurements of prototypes, it is difficult to quantify this impact experimentally.</w:t>
      </w:r>
    </w:p>
    <w:p w:rsidR="00D351E7" w:rsidRDefault="00D351E7" w:rsidP="00D351E7"/>
    <w:p w:rsidR="00D351E7" w:rsidRDefault="00D351E7" w:rsidP="00D351E7">
      <w:r w:rsidRPr="00D351E7">
        <w:rPr>
          <w:b/>
        </w:rPr>
        <w:t xml:space="preserve">Observation </w:t>
      </w:r>
      <w:r w:rsidR="00D2706E">
        <w:rPr>
          <w:b/>
        </w:rPr>
        <w:t>1</w:t>
      </w:r>
      <w:r w:rsidR="006A63DA">
        <w:rPr>
          <w:b/>
        </w:rPr>
        <w:t>2</w:t>
      </w:r>
      <w:r>
        <w:t xml:space="preserve">: Because no market-ready devices are available to derive the spherical coverage CDF requirements based on the joint band passing rate (JBPR) framework </w:t>
      </w:r>
      <w:r>
        <w:fldChar w:fldCharType="begin"/>
      </w:r>
      <w:r>
        <w:instrText xml:space="preserve"> REF _Ref513478087 \r \h </w:instrText>
      </w:r>
      <w:r>
        <w:fldChar w:fldCharType="separate"/>
      </w:r>
      <w:r w:rsidR="006A63DA">
        <w:t>[10]</w:t>
      </w:r>
      <w:r>
        <w:fldChar w:fldCharType="end"/>
      </w:r>
      <w:r>
        <w:t xml:space="preserve">, the derivation of band-specific requirements based on simulation results </w:t>
      </w:r>
      <w:r w:rsidR="007C5750">
        <w:t>should</w:t>
      </w:r>
      <w:r>
        <w:t xml:space="preserve"> consider the most common set of baseline assumptions (Assumption 1 with full display panel) together with additional factors accounting for intra-band variation of performance and the simulation vs. measurement margin.</w:t>
      </w:r>
    </w:p>
    <w:p w:rsidR="00B6733D" w:rsidRDefault="00B6733D" w:rsidP="00B6733D">
      <w:pPr>
        <w:pStyle w:val="Heading2"/>
      </w:pPr>
      <w:r>
        <w:t>Summary</w:t>
      </w:r>
    </w:p>
    <w:p w:rsidR="00C261FB" w:rsidRDefault="00C261FB" w:rsidP="00C261FB">
      <w:r w:rsidRPr="00C261FB">
        <w:t>Considering the observation made i</w:t>
      </w:r>
      <w:r>
        <w:t xml:space="preserve">n our network simulation paper </w:t>
      </w:r>
      <w:r>
        <w:fldChar w:fldCharType="begin"/>
      </w:r>
      <w:r>
        <w:instrText xml:space="preserve"> REF _Ref513570710 \r \h </w:instrText>
      </w:r>
      <w:r>
        <w:fldChar w:fldCharType="separate"/>
      </w:r>
      <w:r w:rsidR="006A63DA">
        <w:t>[13]</w:t>
      </w:r>
      <w:r>
        <w:fldChar w:fldCharType="end"/>
      </w:r>
      <w:r w:rsidRPr="00C261FB">
        <w:t xml:space="preserve">, we understand that regardless </w:t>
      </w:r>
      <w:r>
        <w:t xml:space="preserve">of </w:t>
      </w:r>
      <w:r w:rsidRPr="00C261FB">
        <w:t>the CDF degradation method, the network and UE performances are much less sensitive to the value of the EIRP CDF at 20%-tile and we therefore believe defining the spherical coverage requirement at 20%-tile v</w:t>
      </w:r>
      <w:r>
        <w:t>alue is not a practical option.</w:t>
      </w:r>
    </w:p>
    <w:p w:rsidR="00C261FB" w:rsidRDefault="00C261FB" w:rsidP="00C261FB"/>
    <w:p w:rsidR="00C261FB" w:rsidRPr="00C261FB" w:rsidRDefault="00C261FB" w:rsidP="00C261FB">
      <w:r w:rsidRPr="00C261FB">
        <w:rPr>
          <w:b/>
        </w:rPr>
        <w:t xml:space="preserve">Observation </w:t>
      </w:r>
      <w:r w:rsidR="00D2706E">
        <w:rPr>
          <w:b/>
        </w:rPr>
        <w:t>1</w:t>
      </w:r>
      <w:r w:rsidR="006A63DA">
        <w:rPr>
          <w:b/>
        </w:rPr>
        <w:t>3</w:t>
      </w:r>
      <w:r>
        <w:t xml:space="preserve">: </w:t>
      </w:r>
      <w:r w:rsidRPr="00C261FB">
        <w:t>We suggest to define the spherical coverage requirement at not smaller than 50%-tile value</w:t>
      </w:r>
      <w:r>
        <w:t>.</w:t>
      </w:r>
    </w:p>
    <w:p w:rsidR="00C261FB" w:rsidRDefault="00C261FB" w:rsidP="0004781D"/>
    <w:p w:rsidR="004F6438" w:rsidRDefault="008A3786" w:rsidP="0004781D">
      <w:r>
        <w:lastRenderedPageBreak/>
        <w:t xml:space="preserve">This contribution has updated the Model 2 EIRP CDF results, has provided </w:t>
      </w:r>
      <w:r w:rsidR="002569D5">
        <w:t xml:space="preserve">new Model 3 results in 28 GHz and 39 GHz frequency ranges, has quantified the intra-band variation in both frequency ranges, and has recommended a simulation vs. measurement margin based on a number of considerations.  </w:t>
      </w:r>
      <w:r w:rsidR="002569D5">
        <w:fldChar w:fldCharType="begin"/>
      </w:r>
      <w:r w:rsidR="002569D5">
        <w:instrText xml:space="preserve"> REF _Ref513485207 \h </w:instrText>
      </w:r>
      <w:r w:rsidR="002569D5">
        <w:fldChar w:fldCharType="separate"/>
      </w:r>
      <w:r w:rsidR="006A63DA">
        <w:t xml:space="preserve">Table </w:t>
      </w:r>
      <w:r w:rsidR="006A63DA">
        <w:rPr>
          <w:noProof/>
        </w:rPr>
        <w:t>1</w:t>
      </w:r>
      <w:r w:rsidR="002569D5">
        <w:fldChar w:fldCharType="end"/>
      </w:r>
      <w:r w:rsidR="002569D5">
        <w:t xml:space="preserve"> below summarizes the data </w:t>
      </w:r>
      <w:r w:rsidR="00C261FB">
        <w:t xml:space="preserve">(at the 50%-tile) </w:t>
      </w:r>
      <w:r w:rsidR="002569D5">
        <w:t>as input to the EIRP CDF requirement derivation activity.</w:t>
      </w:r>
    </w:p>
    <w:p w:rsidR="002569D5" w:rsidRDefault="002569D5" w:rsidP="0004781D"/>
    <w:p w:rsidR="005E43BA" w:rsidRDefault="005E43BA" w:rsidP="005E43BA">
      <w:pPr>
        <w:pStyle w:val="Caption"/>
        <w:jc w:val="center"/>
      </w:pPr>
      <w:bookmarkStart w:id="11" w:name="_Ref513485207"/>
      <w:r>
        <w:t xml:space="preserve">Table </w:t>
      </w:r>
      <w:fldSimple w:instr=" SEQ Table \* ARABIC ">
        <w:r w:rsidR="006A63DA">
          <w:rPr>
            <w:noProof/>
          </w:rPr>
          <w:t>1</w:t>
        </w:r>
      </w:fldSimple>
      <w:bookmarkEnd w:id="11"/>
      <w:r>
        <w:t>: Summary of EIRP CDF simulation results</w:t>
      </w:r>
      <w:r w:rsidR="00C261FB">
        <w:t xml:space="preserve"> (at 50%-tile)</w:t>
      </w:r>
    </w:p>
    <w:tbl>
      <w:tblPr>
        <w:tblW w:w="0" w:type="auto"/>
        <w:jc w:val="center"/>
        <w:tblCellMar>
          <w:left w:w="0" w:type="dxa"/>
          <w:right w:w="0" w:type="dxa"/>
        </w:tblCellMar>
        <w:tblLook w:val="04A0" w:firstRow="1" w:lastRow="0" w:firstColumn="1" w:lastColumn="0" w:noHBand="0" w:noVBand="1"/>
      </w:tblPr>
      <w:tblGrid>
        <w:gridCol w:w="2692"/>
        <w:gridCol w:w="1190"/>
        <w:gridCol w:w="1150"/>
      </w:tblGrid>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p>
        </w:tc>
        <w:tc>
          <w:tcPr>
            <w:tcW w:w="119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28 GHz</w:t>
            </w:r>
          </w:p>
        </w:tc>
        <w:tc>
          <w:tcPr>
            <w:tcW w:w="115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39 GHz</w:t>
            </w:r>
          </w:p>
        </w:tc>
      </w:tr>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Model 2 (A)</w:t>
            </w: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r w:rsidRPr="005E43BA">
              <w:rPr>
                <w:rFonts w:ascii="Arial" w:hAnsi="Arial" w:cs="Arial"/>
                <w:color w:val="000000"/>
                <w:sz w:val="18"/>
                <w:szCs w:val="18"/>
              </w:rPr>
              <w:t>-1</w:t>
            </w:r>
            <w:r w:rsidR="00816E87">
              <w:rPr>
                <w:rFonts w:ascii="Arial" w:hAnsi="Arial" w:cs="Arial"/>
                <w:color w:val="000000"/>
                <w:sz w:val="18"/>
                <w:szCs w:val="18"/>
              </w:rPr>
              <w:t>3.3</w:t>
            </w: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607CE" w:rsidP="006A63DA">
            <w:pPr>
              <w:pStyle w:val="NormalWeb"/>
              <w:spacing w:before="0" w:beforeAutospacing="0" w:after="0" w:afterAutospacing="0"/>
              <w:jc w:val="right"/>
              <w:rPr>
                <w:rFonts w:ascii="Arial" w:hAnsi="Arial" w:cs="Arial"/>
                <w:sz w:val="18"/>
                <w:szCs w:val="18"/>
              </w:rPr>
            </w:pPr>
            <w:r>
              <w:rPr>
                <w:rFonts w:ascii="Arial" w:hAnsi="Arial" w:cs="Arial"/>
                <w:sz w:val="18"/>
                <w:szCs w:val="18"/>
              </w:rPr>
              <w:t>-14.</w:t>
            </w:r>
            <w:r w:rsidR="0080150F">
              <w:rPr>
                <w:rFonts w:ascii="Arial" w:hAnsi="Arial" w:cs="Arial"/>
                <w:sz w:val="18"/>
                <w:szCs w:val="18"/>
              </w:rPr>
              <w:t>6</w:t>
            </w:r>
          </w:p>
        </w:tc>
      </w:tr>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rsidP="006A63DA">
            <w:pPr>
              <w:pStyle w:val="NormalWeb"/>
              <w:spacing w:before="0" w:beforeAutospacing="0" w:after="0" w:afterAutospacing="0"/>
              <w:jc w:val="right"/>
              <w:rPr>
                <w:rFonts w:ascii="Arial" w:hAnsi="Arial" w:cs="Arial"/>
                <w:sz w:val="18"/>
                <w:szCs w:val="18"/>
              </w:rPr>
            </w:pPr>
          </w:p>
        </w:tc>
      </w:tr>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Model 2 (A+B)</w:t>
            </w: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r w:rsidRPr="005E43BA">
              <w:rPr>
                <w:rFonts w:ascii="Arial" w:hAnsi="Arial" w:cs="Arial"/>
                <w:color w:val="000000"/>
                <w:sz w:val="18"/>
                <w:szCs w:val="18"/>
              </w:rPr>
              <w:t>-1</w:t>
            </w:r>
            <w:r w:rsidR="00816E87">
              <w:rPr>
                <w:rFonts w:ascii="Arial" w:hAnsi="Arial" w:cs="Arial"/>
                <w:color w:val="000000"/>
                <w:sz w:val="18"/>
                <w:szCs w:val="18"/>
              </w:rPr>
              <w:t>1</w:t>
            </w:r>
            <w:r w:rsidRPr="005E43BA">
              <w:rPr>
                <w:rFonts w:ascii="Arial" w:hAnsi="Arial" w:cs="Arial"/>
                <w:color w:val="000000"/>
                <w:sz w:val="18"/>
                <w:szCs w:val="18"/>
              </w:rPr>
              <w:t>.</w:t>
            </w:r>
            <w:r w:rsidR="00816E87">
              <w:rPr>
                <w:rFonts w:ascii="Arial" w:hAnsi="Arial" w:cs="Arial"/>
                <w:color w:val="000000"/>
                <w:sz w:val="18"/>
                <w:szCs w:val="18"/>
              </w:rPr>
              <w:t>1</w:t>
            </w: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607CE" w:rsidP="006A63DA">
            <w:pPr>
              <w:pStyle w:val="NormalWeb"/>
              <w:spacing w:before="0" w:beforeAutospacing="0" w:after="0" w:afterAutospacing="0"/>
              <w:jc w:val="right"/>
              <w:rPr>
                <w:rFonts w:ascii="Arial" w:hAnsi="Arial" w:cs="Arial"/>
                <w:sz w:val="18"/>
                <w:szCs w:val="18"/>
              </w:rPr>
            </w:pPr>
            <w:r>
              <w:rPr>
                <w:rFonts w:ascii="Arial" w:hAnsi="Arial" w:cs="Arial"/>
                <w:sz w:val="18"/>
                <w:szCs w:val="18"/>
              </w:rPr>
              <w:t>-12.7</w:t>
            </w:r>
          </w:p>
        </w:tc>
      </w:tr>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Model 3</w:t>
            </w: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r w:rsidRPr="005E43BA">
              <w:rPr>
                <w:rFonts w:ascii="Arial" w:hAnsi="Arial" w:cs="Arial"/>
                <w:color w:val="000000"/>
                <w:sz w:val="18"/>
                <w:szCs w:val="18"/>
              </w:rPr>
              <w:t>-</w:t>
            </w:r>
            <w:r w:rsidR="00277076">
              <w:rPr>
                <w:rFonts w:ascii="Arial" w:hAnsi="Arial" w:cs="Arial"/>
                <w:color w:val="000000"/>
                <w:sz w:val="18"/>
                <w:szCs w:val="18"/>
              </w:rPr>
              <w:t>13.2</w:t>
            </w: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r w:rsidRPr="005E43BA">
              <w:rPr>
                <w:rFonts w:ascii="Arial" w:hAnsi="Arial" w:cs="Arial"/>
                <w:color w:val="000000"/>
                <w:sz w:val="18"/>
                <w:szCs w:val="18"/>
              </w:rPr>
              <w:t>-</w:t>
            </w:r>
            <w:r w:rsidR="00277076">
              <w:rPr>
                <w:rFonts w:ascii="Arial" w:hAnsi="Arial" w:cs="Arial"/>
                <w:color w:val="000000"/>
                <w:sz w:val="18"/>
                <w:szCs w:val="18"/>
              </w:rPr>
              <w:t>14.7</w:t>
            </w:r>
          </w:p>
        </w:tc>
      </w:tr>
      <w:tr w:rsidR="005E43BA"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hideMark/>
          </w:tcPr>
          <w:p w:rsidR="005E43BA" w:rsidRPr="005E43BA" w:rsidRDefault="005E43BA">
            <w:pPr>
              <w:pStyle w:val="NormalWeb"/>
              <w:spacing w:before="0" w:beforeAutospacing="0" w:after="0" w:afterAutospacing="0"/>
              <w:rPr>
                <w:rFonts w:ascii="Arial" w:hAnsi="Arial" w:cs="Arial"/>
                <w:sz w:val="18"/>
                <w:szCs w:val="18"/>
              </w:rPr>
            </w:pPr>
            <w:r w:rsidRPr="005E43BA">
              <w:rPr>
                <w:rFonts w:ascii="Arial" w:hAnsi="Arial" w:cs="Arial"/>
                <w:b/>
                <w:bCs/>
                <w:color w:val="000000"/>
                <w:sz w:val="18"/>
                <w:szCs w:val="18"/>
              </w:rPr>
              <w:t>Intra-band variation</w:t>
            </w: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A879F9">
            <w:pPr>
              <w:pStyle w:val="NormalWeb"/>
              <w:spacing w:before="0" w:beforeAutospacing="0" w:after="0" w:afterAutospacing="0"/>
              <w:jc w:val="right"/>
              <w:rPr>
                <w:rFonts w:ascii="Arial" w:hAnsi="Arial" w:cs="Arial"/>
                <w:sz w:val="18"/>
                <w:szCs w:val="18"/>
              </w:rPr>
            </w:pPr>
            <w:r>
              <w:rPr>
                <w:rFonts w:ascii="Arial" w:hAnsi="Arial" w:cs="Arial"/>
                <w:color w:val="000000"/>
                <w:sz w:val="18"/>
                <w:szCs w:val="18"/>
              </w:rPr>
              <w:t>0.8</w:t>
            </w: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5E43BA" w:rsidRPr="005E43BA" w:rsidRDefault="005E43BA">
            <w:pPr>
              <w:pStyle w:val="NormalWeb"/>
              <w:spacing w:before="0" w:beforeAutospacing="0" w:after="0" w:afterAutospacing="0"/>
              <w:jc w:val="right"/>
              <w:rPr>
                <w:rFonts w:ascii="Arial" w:hAnsi="Arial" w:cs="Arial"/>
                <w:sz w:val="18"/>
                <w:szCs w:val="18"/>
              </w:rPr>
            </w:pPr>
            <w:r w:rsidRPr="005E43BA">
              <w:rPr>
                <w:rFonts w:ascii="Arial" w:hAnsi="Arial" w:cs="Arial"/>
                <w:color w:val="000000"/>
                <w:sz w:val="18"/>
                <w:szCs w:val="18"/>
              </w:rPr>
              <w:t>2.</w:t>
            </w:r>
            <w:r w:rsidR="00A879F9">
              <w:rPr>
                <w:rFonts w:ascii="Arial" w:hAnsi="Arial" w:cs="Arial"/>
                <w:color w:val="000000"/>
                <w:sz w:val="18"/>
                <w:szCs w:val="18"/>
              </w:rPr>
              <w:t>1</w:t>
            </w:r>
          </w:p>
        </w:tc>
      </w:tr>
      <w:tr w:rsidR="002569D5" w:rsidRPr="005E43BA" w:rsidTr="00D351E7">
        <w:trPr>
          <w:trHeight w:val="20"/>
          <w:jc w:val="center"/>
        </w:trPr>
        <w:tc>
          <w:tcPr>
            <w:tcW w:w="2692" w:type="dxa"/>
            <w:tcBorders>
              <w:top w:val="single" w:sz="6" w:space="0" w:color="000000"/>
              <w:left w:val="single" w:sz="6" w:space="0" w:color="000000"/>
              <w:bottom w:val="single" w:sz="6" w:space="0" w:color="000000"/>
              <w:right w:val="single" w:sz="6" w:space="0" w:color="000000"/>
            </w:tcBorders>
            <w:shd w:val="clear" w:color="auto" w:fill="DCDCDC"/>
            <w:tcMar>
              <w:top w:w="60" w:type="dxa"/>
              <w:left w:w="60" w:type="dxa"/>
              <w:bottom w:w="60" w:type="dxa"/>
              <w:right w:w="60" w:type="dxa"/>
            </w:tcMar>
          </w:tcPr>
          <w:p w:rsidR="002569D5" w:rsidRPr="005E43BA" w:rsidRDefault="002569D5">
            <w:pPr>
              <w:pStyle w:val="NormalWeb"/>
              <w:spacing w:before="0" w:beforeAutospacing="0" w:after="0" w:afterAutospacing="0"/>
              <w:rPr>
                <w:rFonts w:ascii="Arial" w:hAnsi="Arial" w:cs="Arial"/>
                <w:b/>
                <w:bCs/>
                <w:color w:val="000000"/>
                <w:sz w:val="18"/>
                <w:szCs w:val="18"/>
              </w:rPr>
            </w:pPr>
            <w:r>
              <w:rPr>
                <w:rFonts w:ascii="Arial" w:hAnsi="Arial" w:cs="Arial"/>
                <w:b/>
                <w:bCs/>
                <w:color w:val="000000"/>
                <w:sz w:val="18"/>
                <w:szCs w:val="18"/>
              </w:rPr>
              <w:t>Sim vs measurement margin</w:t>
            </w:r>
          </w:p>
        </w:tc>
        <w:tc>
          <w:tcPr>
            <w:tcW w:w="11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rsidR="002569D5" w:rsidRPr="005E43BA" w:rsidRDefault="00A04CA0">
            <w:pPr>
              <w:pStyle w:val="NormalWeb"/>
              <w:spacing w:before="0" w:beforeAutospacing="0" w:after="0" w:afterAutospacing="0"/>
              <w:jc w:val="right"/>
              <w:rPr>
                <w:rFonts w:ascii="Arial" w:hAnsi="Arial" w:cs="Arial"/>
                <w:color w:val="000000"/>
                <w:sz w:val="18"/>
                <w:szCs w:val="18"/>
              </w:rPr>
            </w:pPr>
            <w:r>
              <w:rPr>
                <w:rFonts w:ascii="Arial" w:hAnsi="Arial" w:cs="Arial"/>
                <w:color w:val="000000"/>
                <w:sz w:val="18"/>
                <w:szCs w:val="18"/>
              </w:rPr>
              <w:t>1.5</w:t>
            </w:r>
          </w:p>
        </w:tc>
        <w:tc>
          <w:tcPr>
            <w:tcW w:w="115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rsidR="002569D5" w:rsidRPr="005E43BA" w:rsidRDefault="00A04CA0">
            <w:pPr>
              <w:pStyle w:val="NormalWeb"/>
              <w:spacing w:before="0" w:beforeAutospacing="0" w:after="0" w:afterAutospacing="0"/>
              <w:jc w:val="right"/>
              <w:rPr>
                <w:rFonts w:ascii="Arial" w:hAnsi="Arial" w:cs="Arial"/>
                <w:color w:val="000000"/>
                <w:sz w:val="18"/>
                <w:szCs w:val="18"/>
              </w:rPr>
            </w:pPr>
            <w:r>
              <w:rPr>
                <w:rFonts w:ascii="Arial" w:hAnsi="Arial" w:cs="Arial"/>
                <w:color w:val="000000"/>
                <w:sz w:val="18"/>
                <w:szCs w:val="18"/>
              </w:rPr>
              <w:t>1.5</w:t>
            </w:r>
          </w:p>
        </w:tc>
      </w:tr>
    </w:tbl>
    <w:p w:rsidR="005E43BA" w:rsidRDefault="005E43BA" w:rsidP="0004781D"/>
    <w:p w:rsidR="006A63DA" w:rsidRDefault="00C87764" w:rsidP="006A63DA">
      <w:r>
        <w:t xml:space="preserve">A companion paper presents a data-driven analysis to derive the spherical coverage requirement based on this data together with the rest of the data available to RAN4 </w:t>
      </w:r>
      <w:r>
        <w:fldChar w:fldCharType="begin"/>
      </w:r>
      <w:r>
        <w:instrText xml:space="preserve"> REF _Ref513646084 \r \h </w:instrText>
      </w:r>
      <w:r>
        <w:fldChar w:fldCharType="separate"/>
      </w:r>
      <w:r w:rsidR="006A63DA">
        <w:t>[14]</w:t>
      </w:r>
      <w:r>
        <w:fldChar w:fldCharType="end"/>
      </w:r>
      <w:r>
        <w:t>.</w:t>
      </w:r>
      <w:r w:rsidR="006A63DA">
        <w:t xml:space="preserve">  Given that the simulation and measurement effort described in this contribution has addressed the agreed work plan in full </w:t>
      </w:r>
      <w:r w:rsidR="006A63DA">
        <w:fldChar w:fldCharType="begin"/>
      </w:r>
      <w:r w:rsidR="006A63DA">
        <w:instrText xml:space="preserve"> REF _Ref512674265 \r \h </w:instrText>
      </w:r>
      <w:r w:rsidR="006A63DA">
        <w:fldChar w:fldCharType="separate"/>
      </w:r>
      <w:r w:rsidR="006A63DA">
        <w:t>[3]</w:t>
      </w:r>
      <w:r w:rsidR="006A63DA">
        <w:fldChar w:fldCharType="end"/>
      </w:r>
      <w:r w:rsidR="006A63DA">
        <w:t xml:space="preserve">, it is proper to make the following </w:t>
      </w:r>
      <w:r w:rsidR="002406B1">
        <w:t>proposal</w:t>
      </w:r>
      <w:bookmarkStart w:id="12" w:name="_GoBack"/>
      <w:bookmarkEnd w:id="12"/>
      <w:r w:rsidR="006A63DA">
        <w:t>:</w:t>
      </w:r>
    </w:p>
    <w:p w:rsidR="006A63DA" w:rsidRDefault="006A63DA" w:rsidP="006A63DA"/>
    <w:p w:rsidR="00C87764" w:rsidRDefault="006A63DA" w:rsidP="0004781D">
      <w:r>
        <w:rPr>
          <w:b/>
        </w:rPr>
        <w:t>Proposal 1</w:t>
      </w:r>
      <w:r>
        <w:t xml:space="preserve">: Companies are encouraged to follow the data-driven approach described in </w:t>
      </w:r>
      <w:r>
        <w:fldChar w:fldCharType="begin"/>
      </w:r>
      <w:r>
        <w:instrText xml:space="preserve"> REF _Ref513646084 \r \h </w:instrText>
      </w:r>
      <w:r>
        <w:fldChar w:fldCharType="separate"/>
      </w:r>
      <w:r>
        <w:t>[14]</w:t>
      </w:r>
      <w:r>
        <w:fldChar w:fldCharType="end"/>
      </w:r>
      <w:r>
        <w:t xml:space="preserve"> to derive the spherical coverage requirement during the RAN4 #87 meeting.  From the perspective of a company who has completed the simulation and measurement aspects of the work plan, it is our understanding that the requirement can be defined according to the proposals prepared in </w:t>
      </w:r>
      <w:r>
        <w:fldChar w:fldCharType="begin"/>
      </w:r>
      <w:r>
        <w:instrText xml:space="preserve"> REF _Ref513646084 \r \h </w:instrText>
      </w:r>
      <w:r>
        <w:fldChar w:fldCharType="separate"/>
      </w:r>
      <w:r>
        <w:t>[14]</w:t>
      </w:r>
      <w:r>
        <w:fldChar w:fldCharType="end"/>
      </w:r>
      <w:r>
        <w:t>.  In the event of strong disagreement with these proposals, it is also acceptable to completely postpone the effort on spherical coverage until commercial devices are available for a measurement campaign.</w:t>
      </w:r>
    </w:p>
    <w:p w:rsidR="0017048A" w:rsidRPr="00D40274" w:rsidRDefault="0028298E" w:rsidP="00D40274">
      <w:pPr>
        <w:pStyle w:val="Heading1"/>
      </w:pPr>
      <w:r>
        <w:t>Conclusions</w:t>
      </w:r>
    </w:p>
    <w:p w:rsidR="00B9532A" w:rsidRDefault="00B9532A" w:rsidP="00B9532A">
      <w:r>
        <w:t>This contribution has provided further EIRP CDF results for inclusion into the NR FR2 handheld UE spherical coverage discussion.  The following observations have been made:</w:t>
      </w:r>
    </w:p>
    <w:p w:rsidR="000B2557" w:rsidRDefault="000B2557" w:rsidP="00F93EB0"/>
    <w:p w:rsidR="00E0459E" w:rsidRDefault="00E0459E" w:rsidP="00E0459E">
      <w:r w:rsidRPr="00E268FA">
        <w:rPr>
          <w:b/>
        </w:rPr>
        <w:t>Observation 1</w:t>
      </w:r>
      <w:r>
        <w:t>: Because Model 1 implements a partial display panel and represents a result for comparative purposes only, Model 1 results cannot be used to determine the spherical coverage requirement for FR2 handheld UEs.</w:t>
      </w:r>
    </w:p>
    <w:p w:rsidR="00E0459E" w:rsidRDefault="00E0459E" w:rsidP="00E0459E"/>
    <w:p w:rsidR="00E0459E" w:rsidRDefault="00E0459E" w:rsidP="00E0459E">
      <w:r w:rsidRPr="00E268FA">
        <w:rPr>
          <w:b/>
        </w:rPr>
        <w:t>Observation 2</w:t>
      </w:r>
      <w:r>
        <w:t xml:space="preserve">: The result </w:t>
      </w:r>
      <w:r w:rsidR="000B2619">
        <w:t xml:space="preserve">for </w:t>
      </w:r>
      <w:r>
        <w:t>Model 2 (A) correspond</w:t>
      </w:r>
      <w:r w:rsidR="000B2619">
        <w:t>s</w:t>
      </w:r>
      <w:r>
        <w:t xml:space="preserve"> to Assumption 1 with full display panel.</w:t>
      </w:r>
    </w:p>
    <w:p w:rsidR="00E0459E" w:rsidRDefault="00E0459E" w:rsidP="00E0459E"/>
    <w:p w:rsidR="00E0459E" w:rsidRPr="00F85AF6" w:rsidRDefault="00E0459E" w:rsidP="00E0459E">
      <w:r w:rsidRPr="00E268FA">
        <w:rPr>
          <w:b/>
        </w:rPr>
        <w:t>Observation 3</w:t>
      </w:r>
      <w:r>
        <w:t xml:space="preserve">: The result </w:t>
      </w:r>
      <w:r w:rsidR="000B2619">
        <w:t xml:space="preserve">for </w:t>
      </w:r>
      <w:r>
        <w:t>Model 2 (A+B) corresponds to Assumption 3 with full display panel and Back/Back antenna panel locations.</w:t>
      </w:r>
    </w:p>
    <w:p w:rsidR="00E0459E" w:rsidRDefault="00E0459E" w:rsidP="00E0459E"/>
    <w:p w:rsidR="00E0459E" w:rsidRDefault="00E0459E" w:rsidP="00E0459E">
      <w:r w:rsidRPr="00177583">
        <w:rPr>
          <w:b/>
        </w:rPr>
        <w:t>Observation 4</w:t>
      </w:r>
      <w:r>
        <w:t xml:space="preserve">: The result </w:t>
      </w:r>
      <w:r w:rsidR="000B2619">
        <w:t xml:space="preserve">for </w:t>
      </w:r>
      <w:r>
        <w:t>Model 3 corresponds to Assumption 1 with full display panel.</w:t>
      </w:r>
    </w:p>
    <w:p w:rsidR="00E0459E" w:rsidRDefault="00E0459E" w:rsidP="00E0459E"/>
    <w:p w:rsidR="00C261FB" w:rsidRDefault="00C261FB" w:rsidP="00C261FB">
      <w:r w:rsidRPr="00EE2255">
        <w:rPr>
          <w:b/>
        </w:rPr>
        <w:t xml:space="preserve">Observation </w:t>
      </w:r>
      <w:r>
        <w:rPr>
          <w:b/>
        </w:rPr>
        <w:t>5</w:t>
      </w:r>
      <w:r w:rsidRPr="007C5750">
        <w:t>:</w:t>
      </w:r>
      <w:r>
        <w:rPr>
          <w:b/>
        </w:rPr>
        <w:t xml:space="preserve"> </w:t>
      </w:r>
      <w:r>
        <w:t>The g</w:t>
      </w:r>
      <w:r w:rsidRPr="0004781D">
        <w:t>ap between simulation and measurement</w:t>
      </w:r>
      <w:r>
        <w:t xml:space="preserve">, as reported in </w:t>
      </w:r>
      <w:r>
        <w:fldChar w:fldCharType="begin"/>
      </w:r>
      <w:r>
        <w:instrText xml:space="preserve"> REF _Ref513458883 \r \h </w:instrText>
      </w:r>
      <w:r>
        <w:fldChar w:fldCharType="separate"/>
      </w:r>
      <w:r w:rsidR="006A63DA">
        <w:t>[12]</w:t>
      </w:r>
      <w:r>
        <w:fldChar w:fldCharType="end"/>
      </w:r>
      <w:r>
        <w:t>,</w:t>
      </w:r>
      <w:r w:rsidRPr="0004781D">
        <w:t xml:space="preserve"> </w:t>
      </w:r>
      <w:r w:rsidR="00FB0B9F">
        <w:t>is between 1.5 and 1.7</w:t>
      </w:r>
      <w:r w:rsidRPr="0004781D">
        <w:t xml:space="preserve"> dB</w:t>
      </w:r>
      <w:r>
        <w:t>.</w:t>
      </w:r>
    </w:p>
    <w:p w:rsidR="006A63DA" w:rsidRDefault="006A63DA" w:rsidP="00C261FB"/>
    <w:p w:rsidR="006A63DA" w:rsidRDefault="006A63DA" w:rsidP="006A63DA">
      <w:r w:rsidRPr="009160C9">
        <w:rPr>
          <w:b/>
        </w:rPr>
        <w:t xml:space="preserve">Observation </w:t>
      </w:r>
      <w:r>
        <w:rPr>
          <w:b/>
        </w:rPr>
        <w:t>6</w:t>
      </w:r>
      <w:r>
        <w:t xml:space="preserve">: The first step toward improving the confidence in our simulated results’ prediction of the EIRP CDF performance has been taken with results showing alignment within 0.5 dB. </w:t>
      </w:r>
    </w:p>
    <w:p w:rsidR="006A63DA" w:rsidRDefault="006A63DA" w:rsidP="006A63DA"/>
    <w:p w:rsidR="006A63DA" w:rsidRDefault="006A63DA" w:rsidP="006A63DA">
      <w:r w:rsidRPr="00215C99">
        <w:rPr>
          <w:b/>
        </w:rPr>
        <w:t xml:space="preserve">Observation </w:t>
      </w:r>
      <w:r>
        <w:rPr>
          <w:b/>
        </w:rPr>
        <w:t>7</w:t>
      </w:r>
      <w:r>
        <w:t>: The measurement results raise a concern with the efficacy of setting a potential requirement on any percentile below the 50</w:t>
      </w:r>
      <w:r w:rsidRPr="00215C99">
        <w:rPr>
          <w:vertAlign w:val="superscript"/>
        </w:rPr>
        <w:t>th</w:t>
      </w:r>
      <w:r>
        <w:t>, since it becomes difficult to separate actual UE performance at these percentiles from any test system related effects, such as DUT fixturing.  It is not recommended to consider defining an EIRP CDF requirement for any percentiles below the 50</w:t>
      </w:r>
      <w:r w:rsidRPr="00215C99">
        <w:rPr>
          <w:vertAlign w:val="superscript"/>
        </w:rPr>
        <w:t>th</w:t>
      </w:r>
      <w:r>
        <w:t>.</w:t>
      </w:r>
    </w:p>
    <w:p w:rsidR="00C261FB" w:rsidRDefault="00C261FB" w:rsidP="00E0459E">
      <w:pPr>
        <w:rPr>
          <w:b/>
          <w:lang w:eastAsia="ja-JP" w:bidi="hi-IN"/>
        </w:rPr>
      </w:pPr>
    </w:p>
    <w:p w:rsidR="00E0459E" w:rsidRDefault="00E0459E" w:rsidP="00E0459E">
      <w:pPr>
        <w:rPr>
          <w:lang w:eastAsia="ja-JP" w:bidi="hi-IN"/>
        </w:rPr>
      </w:pPr>
      <w:r w:rsidRPr="00EE2255">
        <w:rPr>
          <w:b/>
          <w:lang w:eastAsia="ja-JP" w:bidi="hi-IN"/>
        </w:rPr>
        <w:t xml:space="preserve">Observation </w:t>
      </w:r>
      <w:r w:rsidR="006A63DA">
        <w:rPr>
          <w:b/>
          <w:lang w:eastAsia="ja-JP" w:bidi="hi-IN"/>
        </w:rPr>
        <w:t>8</w:t>
      </w:r>
      <w:r>
        <w:rPr>
          <w:lang w:eastAsia="ja-JP" w:bidi="hi-IN"/>
        </w:rPr>
        <w:t>: The intra-band variation of peak EIRP is 2.0 dB for 28 GHz and 2.5 dB for 39 GHz.</w:t>
      </w:r>
    </w:p>
    <w:p w:rsidR="00E0459E" w:rsidRDefault="00E0459E" w:rsidP="00E0459E"/>
    <w:p w:rsidR="006A63DA" w:rsidRDefault="006A63DA" w:rsidP="006A63DA">
      <w:r w:rsidRPr="00EE2255">
        <w:rPr>
          <w:b/>
        </w:rPr>
        <w:t xml:space="preserve">Observation </w:t>
      </w:r>
      <w:r>
        <w:rPr>
          <w:b/>
        </w:rPr>
        <w:t>9</w:t>
      </w:r>
      <w:r>
        <w:t xml:space="preserve">: Over the </w:t>
      </w:r>
      <w:r w:rsidRPr="002A5D92">
        <w:t xml:space="preserve">28 GHz </w:t>
      </w:r>
      <w:r>
        <w:t>frequency range, performance at the 50%-tile CDF has a spread of</w:t>
      </w:r>
      <w:r w:rsidRPr="002A5D92">
        <w:t xml:space="preserve"> 2.8 dB </w:t>
      </w:r>
      <w:r>
        <w:t xml:space="preserve">compared to the </w:t>
      </w:r>
      <w:r w:rsidRPr="002A5D92">
        <w:t xml:space="preserve">2.0 dB </w:t>
      </w:r>
      <w:r>
        <w:t>assumption for peak EIRP.</w:t>
      </w:r>
    </w:p>
    <w:p w:rsidR="006A63DA" w:rsidRDefault="006A63DA" w:rsidP="006A63DA"/>
    <w:p w:rsidR="006A63DA" w:rsidRPr="002A5D92" w:rsidRDefault="006A63DA" w:rsidP="006A63DA">
      <w:r w:rsidRPr="00EE2255">
        <w:rPr>
          <w:b/>
        </w:rPr>
        <w:t xml:space="preserve">Observation </w:t>
      </w:r>
      <w:r>
        <w:rPr>
          <w:b/>
        </w:rPr>
        <w:t>10</w:t>
      </w:r>
      <w:r>
        <w:t xml:space="preserve">: Over the </w:t>
      </w:r>
      <w:r w:rsidRPr="002A5D92">
        <w:t xml:space="preserve">39 GHz </w:t>
      </w:r>
      <w:r>
        <w:t xml:space="preserve">frequency </w:t>
      </w:r>
      <w:r w:rsidRPr="002A5D92">
        <w:t>range</w:t>
      </w:r>
      <w:r>
        <w:t>, performance at the 50%-tile CDF has a spread of</w:t>
      </w:r>
      <w:r w:rsidRPr="002A5D92">
        <w:t xml:space="preserve"> 4.6 dB </w:t>
      </w:r>
      <w:r>
        <w:t>compared to the 2.5 dB assumption for EIRP.</w:t>
      </w:r>
    </w:p>
    <w:p w:rsidR="006A63DA" w:rsidRDefault="006A63DA" w:rsidP="006A63DA"/>
    <w:p w:rsidR="006A63DA" w:rsidRDefault="006A63DA" w:rsidP="006A63DA">
      <w:r w:rsidRPr="00EE2255">
        <w:rPr>
          <w:b/>
        </w:rPr>
        <w:t xml:space="preserve">Observation </w:t>
      </w:r>
      <w:r>
        <w:rPr>
          <w:b/>
        </w:rPr>
        <w:t>11</w:t>
      </w:r>
      <w:r>
        <w:t>: Based on the above observations, i</w:t>
      </w:r>
      <w:r w:rsidRPr="002A5D92">
        <w:t>ntra-band variation of the CDF exceeds the variation of the peak</w:t>
      </w:r>
      <w:r>
        <w:t xml:space="preserve"> by</w:t>
      </w:r>
      <w:r w:rsidRPr="002A5D92">
        <w:t xml:space="preserve"> </w:t>
      </w:r>
      <w:r>
        <w:t>a margin</w:t>
      </w:r>
      <w:r w:rsidRPr="002A5D92">
        <w:t xml:space="preserve"> of </w:t>
      </w:r>
      <w:r>
        <w:rPr>
          <w:bCs/>
        </w:rPr>
        <w:t>0.8 dB for 28 GHz and by a margin of 2.1</w:t>
      </w:r>
      <w:r w:rsidRPr="002A5D92">
        <w:t xml:space="preserve"> dB </w:t>
      </w:r>
      <w:r>
        <w:t>for 39 Ghz.</w:t>
      </w:r>
    </w:p>
    <w:p w:rsidR="00E0459E" w:rsidRDefault="00E0459E" w:rsidP="00E0459E"/>
    <w:p w:rsidR="00724EC7" w:rsidRDefault="00E0459E" w:rsidP="00E0459E">
      <w:r w:rsidRPr="00D351E7">
        <w:rPr>
          <w:b/>
        </w:rPr>
        <w:t xml:space="preserve">Observation </w:t>
      </w:r>
      <w:r w:rsidR="00D2706E">
        <w:rPr>
          <w:b/>
        </w:rPr>
        <w:t>1</w:t>
      </w:r>
      <w:r w:rsidR="006A63DA">
        <w:rPr>
          <w:b/>
        </w:rPr>
        <w:t>2</w:t>
      </w:r>
      <w:r>
        <w:t xml:space="preserve">: Because no market-ready devices are available to derive the spherical coverage CDF requirements based on the joint band passing rate (JBPR) framework </w:t>
      </w:r>
      <w:r>
        <w:fldChar w:fldCharType="begin"/>
      </w:r>
      <w:r>
        <w:instrText xml:space="preserve"> REF _Ref513478087 \r \h </w:instrText>
      </w:r>
      <w:r>
        <w:fldChar w:fldCharType="separate"/>
      </w:r>
      <w:r w:rsidR="006A63DA">
        <w:t>[10]</w:t>
      </w:r>
      <w:r>
        <w:fldChar w:fldCharType="end"/>
      </w:r>
      <w:r>
        <w:t>, the derivation of band-specific requirements based on simulation results should consider the most common set of baseline assumptions (Assumption 1 with full display panel) together with additional factors accounting for intra-band variation of performance and the simulation vs. measurement margin.</w:t>
      </w:r>
    </w:p>
    <w:p w:rsidR="00724EC7" w:rsidRDefault="00724EC7" w:rsidP="00E0459E"/>
    <w:p w:rsidR="00FA357A" w:rsidRDefault="00C261FB" w:rsidP="00E0459E">
      <w:r w:rsidRPr="00C261FB">
        <w:rPr>
          <w:b/>
        </w:rPr>
        <w:t>Observation 1</w:t>
      </w:r>
      <w:r w:rsidR="006A63DA">
        <w:rPr>
          <w:b/>
        </w:rPr>
        <w:t>3</w:t>
      </w:r>
      <w:r>
        <w:t xml:space="preserve">: </w:t>
      </w:r>
      <w:r w:rsidRPr="00C261FB">
        <w:t>We suggest to define the spherical coverage requirement at not smaller than 50%-tile value</w:t>
      </w:r>
      <w:r>
        <w:t>.</w:t>
      </w:r>
    </w:p>
    <w:p w:rsidR="006A63DA" w:rsidRDefault="006A63DA" w:rsidP="00E0459E"/>
    <w:p w:rsidR="006A63DA" w:rsidRDefault="006A63DA" w:rsidP="00E0459E">
      <w:r>
        <w:rPr>
          <w:b/>
        </w:rPr>
        <w:t>Proposal 1</w:t>
      </w:r>
      <w:r>
        <w:t xml:space="preserve">: Companies are encouraged to follow the data-driven approach described in </w:t>
      </w:r>
      <w:r>
        <w:fldChar w:fldCharType="begin"/>
      </w:r>
      <w:r>
        <w:instrText xml:space="preserve"> REF _Ref513646084 \r \h </w:instrText>
      </w:r>
      <w:r>
        <w:fldChar w:fldCharType="separate"/>
      </w:r>
      <w:r>
        <w:t>[14]</w:t>
      </w:r>
      <w:r>
        <w:fldChar w:fldCharType="end"/>
      </w:r>
      <w:r>
        <w:t xml:space="preserve"> to derive the spherical coverage requirement during the RAN4 #87 meeting.  From the perspective of a company who has completed the simulation and measurement aspects of the work plan, it is our understanding that the requirement can be defined according to the proposals prepared in </w:t>
      </w:r>
      <w:r>
        <w:fldChar w:fldCharType="begin"/>
      </w:r>
      <w:r>
        <w:instrText xml:space="preserve"> REF _Ref513646084 \r \h </w:instrText>
      </w:r>
      <w:r>
        <w:fldChar w:fldCharType="separate"/>
      </w:r>
      <w:r>
        <w:t>[14]</w:t>
      </w:r>
      <w:r>
        <w:fldChar w:fldCharType="end"/>
      </w:r>
      <w:r>
        <w:t>.  In the event of strong disagreement with these proposals, it is also acceptable to completely postpone the effort on spherical coverage until commercial devices are available for a measurement campaign.</w:t>
      </w:r>
    </w:p>
    <w:p w:rsidR="0017048A" w:rsidRPr="002855B4" w:rsidRDefault="0017048A" w:rsidP="0017048A">
      <w:pPr>
        <w:pStyle w:val="Heading1"/>
        <w:numPr>
          <w:ilvl w:val="0"/>
          <w:numId w:val="0"/>
        </w:numPr>
        <w:rPr>
          <w:lang w:val="en-US"/>
        </w:rPr>
      </w:pPr>
      <w:r w:rsidRPr="002855B4">
        <w:t>References</w:t>
      </w:r>
    </w:p>
    <w:p w:rsidR="00181722" w:rsidRDefault="005656F2" w:rsidP="00DB5A6E">
      <w:pPr>
        <w:widowControl w:val="0"/>
        <w:numPr>
          <w:ilvl w:val="0"/>
          <w:numId w:val="5"/>
        </w:numPr>
      </w:pPr>
      <w:bookmarkStart w:id="13" w:name="_Ref510390172"/>
      <w:bookmarkStart w:id="14" w:name="_Ref503528678"/>
      <w:r w:rsidRPr="005656F2">
        <w:t>RP-172834</w:t>
      </w:r>
      <w:r w:rsidR="006A6D8A">
        <w:t>, “</w:t>
      </w:r>
      <w:r>
        <w:t>New Radio Access Technology,” NTT DOCOMO, 3GPP RAN #78, December 2017</w:t>
      </w:r>
      <w:bookmarkEnd w:id="13"/>
    </w:p>
    <w:p w:rsidR="00B667B2" w:rsidRDefault="00DC6A90" w:rsidP="00DB5A6E">
      <w:pPr>
        <w:widowControl w:val="0"/>
        <w:numPr>
          <w:ilvl w:val="0"/>
          <w:numId w:val="5"/>
        </w:numPr>
      </w:pPr>
      <w:bookmarkStart w:id="15" w:name="_Ref513573176"/>
      <w:bookmarkStart w:id="16" w:name="_Ref513617775"/>
      <w:bookmarkEnd w:id="14"/>
      <w:r>
        <w:t>TS38.101-2 v15.1.0</w:t>
      </w:r>
      <w:bookmarkEnd w:id="15"/>
      <w:r>
        <w:t>, “User Equipment (UE) radio transmission and reception; Part 2: Range 2 Standalone,” 3GPP, May 2018</w:t>
      </w:r>
      <w:bookmarkEnd w:id="16"/>
    </w:p>
    <w:p w:rsidR="00E6306D" w:rsidRDefault="00E6306D" w:rsidP="00E6306D">
      <w:pPr>
        <w:widowControl w:val="0"/>
        <w:numPr>
          <w:ilvl w:val="0"/>
          <w:numId w:val="5"/>
        </w:numPr>
      </w:pPr>
      <w:bookmarkStart w:id="17" w:name="_Ref512674265"/>
      <w:bookmarkStart w:id="18" w:name="_Ref512673303"/>
      <w:r w:rsidRPr="00E6306D">
        <w:t>R4-1714455</w:t>
      </w:r>
      <w:r>
        <w:t>, “</w:t>
      </w:r>
      <w:r w:rsidRPr="00E6306D">
        <w:t>WF on spherical coverage in FR2</w:t>
      </w:r>
      <w:r>
        <w:t xml:space="preserve">,” </w:t>
      </w:r>
      <w:r w:rsidRPr="00E6306D">
        <w:t>Samsung, Apple, LGE, Intel, Oppo, Xiaomi, Vivo, MediaTek</w:t>
      </w:r>
      <w:r>
        <w:t>, 3GPP RAN4 #85, November 2017</w:t>
      </w:r>
      <w:bookmarkEnd w:id="17"/>
    </w:p>
    <w:p w:rsidR="00E6306D" w:rsidRDefault="00E6306D" w:rsidP="00E6306D">
      <w:pPr>
        <w:widowControl w:val="0"/>
        <w:numPr>
          <w:ilvl w:val="0"/>
          <w:numId w:val="5"/>
        </w:numPr>
      </w:pPr>
      <w:bookmarkStart w:id="19" w:name="_Ref512674892"/>
      <w:r w:rsidRPr="00E6306D">
        <w:t>R4-1803275</w:t>
      </w:r>
      <w:r>
        <w:t>, “</w:t>
      </w:r>
      <w:r w:rsidRPr="00E6306D">
        <w:rPr>
          <w:lang w:val="de-DE"/>
        </w:rPr>
        <w:t>WF on</w:t>
      </w:r>
      <w:r>
        <w:rPr>
          <w:lang w:val="de-DE"/>
        </w:rPr>
        <w:t xml:space="preserve"> EIRP CDF for spherical coverage</w:t>
      </w:r>
      <w:r w:rsidRPr="00191132">
        <w:t>,” Samsung</w:t>
      </w:r>
      <w:r>
        <w:t>, MediaTek, 3GPP RAN4 AH#1801, January 2018</w:t>
      </w:r>
      <w:bookmarkEnd w:id="19"/>
    </w:p>
    <w:p w:rsidR="00954E15" w:rsidRDefault="007E4854" w:rsidP="007E4854">
      <w:pPr>
        <w:widowControl w:val="0"/>
        <w:numPr>
          <w:ilvl w:val="0"/>
          <w:numId w:val="5"/>
        </w:numPr>
      </w:pPr>
      <w:bookmarkStart w:id="20" w:name="_Ref513533082"/>
      <w:r w:rsidRPr="007E4854">
        <w:t>R4-1806101</w:t>
      </w:r>
      <w:r w:rsidR="00954E15">
        <w:t>, “3GPP RAN4 #86bis report,” 3GPP RAN4</w:t>
      </w:r>
      <w:bookmarkEnd w:id="20"/>
    </w:p>
    <w:p w:rsidR="00B10CE6" w:rsidRPr="002A7C3D" w:rsidRDefault="00A72221" w:rsidP="001C6023">
      <w:pPr>
        <w:widowControl w:val="0"/>
        <w:numPr>
          <w:ilvl w:val="0"/>
          <w:numId w:val="5"/>
        </w:numPr>
      </w:pPr>
      <w:bookmarkStart w:id="21" w:name="_Ref512770416"/>
      <w:bookmarkEnd w:id="18"/>
      <w:r w:rsidRPr="00191132">
        <w:rPr>
          <w:lang w:val="en-GB"/>
        </w:rPr>
        <w:t>R4-1713850, “</w:t>
      </w:r>
      <w:r w:rsidRPr="00191132">
        <w:rPr>
          <w:lang w:val="de-DE"/>
        </w:rPr>
        <w:t>Consideration of EIRP spherical coverage requirement,</w:t>
      </w:r>
      <w:r w:rsidRPr="00191132">
        <w:rPr>
          <w:lang w:val="en-GB"/>
        </w:rPr>
        <w:t>” Apple</w:t>
      </w:r>
      <w:r>
        <w:rPr>
          <w:lang w:val="en-GB"/>
        </w:rPr>
        <w:t xml:space="preserve"> Inc.</w:t>
      </w:r>
      <w:r w:rsidRPr="00191132">
        <w:rPr>
          <w:lang w:val="en-GB"/>
        </w:rPr>
        <w:t>, RAN4#85, Nov</w:t>
      </w:r>
      <w:r>
        <w:rPr>
          <w:lang w:val="en-GB"/>
        </w:rPr>
        <w:t>ember</w:t>
      </w:r>
      <w:r w:rsidRPr="00191132">
        <w:rPr>
          <w:lang w:val="en-GB"/>
        </w:rPr>
        <w:t xml:space="preserve"> 2017</w:t>
      </w:r>
      <w:bookmarkEnd w:id="21"/>
    </w:p>
    <w:p w:rsidR="002A7C3D" w:rsidRPr="00CC61CE" w:rsidRDefault="002A7C3D" w:rsidP="002A7C3D">
      <w:pPr>
        <w:widowControl w:val="0"/>
        <w:numPr>
          <w:ilvl w:val="0"/>
          <w:numId w:val="5"/>
        </w:numPr>
      </w:pPr>
      <w:bookmarkStart w:id="22" w:name="_Ref513449304"/>
      <w:r w:rsidRPr="002A7C3D">
        <w:t>R4-1712319</w:t>
      </w:r>
      <w:r>
        <w:t>, “</w:t>
      </w:r>
      <w:r w:rsidRPr="002A7C3D">
        <w:t>UE power class for FR2</w:t>
      </w:r>
      <w:r>
        <w:t xml:space="preserve">,” </w:t>
      </w:r>
      <w:r w:rsidRPr="002A7C3D">
        <w:t xml:space="preserve">Intel Corporation, Apple, OPPO, Samsung, LGE, </w:t>
      </w:r>
      <w:r w:rsidRPr="002A7C3D">
        <w:lastRenderedPageBreak/>
        <w:t>Xiaomi, MediaTek, Motorola, Huawei</w:t>
      </w:r>
      <w:r>
        <w:t>, 3GPP RAN4 #85, November 2017</w:t>
      </w:r>
      <w:bookmarkEnd w:id="22"/>
    </w:p>
    <w:p w:rsidR="00812506" w:rsidRDefault="002E1154" w:rsidP="00DC0534">
      <w:pPr>
        <w:widowControl w:val="0"/>
        <w:numPr>
          <w:ilvl w:val="0"/>
          <w:numId w:val="5"/>
        </w:numPr>
      </w:pPr>
      <w:bookmarkStart w:id="23" w:name="_Ref513458910"/>
      <w:r w:rsidRPr="002E1154">
        <w:t>R4-1805995</w:t>
      </w:r>
      <w:r>
        <w:t>, “</w:t>
      </w:r>
      <w:r w:rsidR="00DC0534" w:rsidRPr="00DC0534">
        <w:t>Way Forward on Measurement Grids for non sparse antenna arrays</w:t>
      </w:r>
      <w:r w:rsidR="00DC0534">
        <w:t xml:space="preserve">,” </w:t>
      </w:r>
      <w:r w:rsidR="00DC0534" w:rsidRPr="00DC0534">
        <w:t>Rohde&amp;Schwarz, Anritsu, Intel, Keysight Technologies</w:t>
      </w:r>
      <w:r w:rsidR="00DC0534">
        <w:t>, 3GPP RAN4 #86bis, April 2018</w:t>
      </w:r>
      <w:bookmarkEnd w:id="23"/>
    </w:p>
    <w:p w:rsidR="00C42755" w:rsidRDefault="00C42755" w:rsidP="0071405A">
      <w:pPr>
        <w:widowControl w:val="0"/>
        <w:numPr>
          <w:ilvl w:val="0"/>
          <w:numId w:val="5"/>
        </w:numPr>
      </w:pPr>
      <w:bookmarkStart w:id="24" w:name="_Ref513477250"/>
      <w:r w:rsidRPr="00C42755">
        <w:t>R4-1800999</w:t>
      </w:r>
      <w:r>
        <w:t xml:space="preserve">, </w:t>
      </w:r>
      <w:r w:rsidR="0071405A">
        <w:t>“</w:t>
      </w:r>
      <w:r w:rsidR="0071405A" w:rsidRPr="0071405A">
        <w:t>TP for TR 38.817-01 Further update of NR bands</w:t>
      </w:r>
      <w:r w:rsidR="0071405A">
        <w:t>,” Huawei, HiSilicon, 3GPP RAN4 #AH1801, January 2018</w:t>
      </w:r>
      <w:bookmarkEnd w:id="24"/>
    </w:p>
    <w:p w:rsidR="003E2896" w:rsidRDefault="003E2896" w:rsidP="003E2896">
      <w:pPr>
        <w:widowControl w:val="0"/>
        <w:numPr>
          <w:ilvl w:val="0"/>
          <w:numId w:val="5"/>
        </w:numPr>
      </w:pPr>
      <w:bookmarkStart w:id="25" w:name="_Ref513478087"/>
      <w:r w:rsidRPr="003E2896">
        <w:t>R4-1714549</w:t>
      </w:r>
      <w:r>
        <w:t>, “</w:t>
      </w:r>
      <w:r w:rsidRPr="003E2896">
        <w:t>Response LS to MSG TFES</w:t>
      </w:r>
      <w:r>
        <w:t>,” 3GPP RAN4 #85, December 2017</w:t>
      </w:r>
      <w:bookmarkEnd w:id="25"/>
    </w:p>
    <w:p w:rsidR="00C83F37" w:rsidRDefault="00C83F37" w:rsidP="00C83F37">
      <w:pPr>
        <w:widowControl w:val="0"/>
        <w:numPr>
          <w:ilvl w:val="0"/>
          <w:numId w:val="5"/>
        </w:numPr>
      </w:pPr>
      <w:bookmarkStart w:id="26" w:name="_Ref513485428"/>
      <w:r w:rsidRPr="00CC61CE">
        <w:t>R4-162879</w:t>
      </w:r>
      <w:r>
        <w:t>, “</w:t>
      </w:r>
      <w:r w:rsidRPr="002D68B2">
        <w:t>WF on RF parameters requested by WP 5D</w:t>
      </w:r>
      <w:r>
        <w:t xml:space="preserve">,” </w:t>
      </w:r>
      <w:r w:rsidRPr="002D68B2">
        <w:t>NTT DOCOMO, INC., Qualcomm, CMCC, Nokia, Huawei, Ericsson, KT, Intel, Samsung</w:t>
      </w:r>
      <w:r>
        <w:t>, 3GPP RAN4 #78bis, April 2016</w:t>
      </w:r>
      <w:bookmarkEnd w:id="26"/>
    </w:p>
    <w:p w:rsidR="00C22106" w:rsidRDefault="00C22106" w:rsidP="00C22106">
      <w:pPr>
        <w:widowControl w:val="0"/>
        <w:numPr>
          <w:ilvl w:val="0"/>
          <w:numId w:val="5"/>
        </w:numPr>
      </w:pPr>
      <w:bookmarkStart w:id="27" w:name="_Ref513458883"/>
      <w:r w:rsidRPr="00DC0534">
        <w:t>R4-1805321</w:t>
      </w:r>
      <w:r>
        <w:t>, “</w:t>
      </w:r>
      <w:r w:rsidRPr="00DC0534">
        <w:t>UE Spherical coverage at mmWave 28GHz</w:t>
      </w:r>
      <w:r>
        <w:t>,” Sony, 3GPP RAN4 #86bis, April 2018</w:t>
      </w:r>
      <w:bookmarkEnd w:id="27"/>
    </w:p>
    <w:p w:rsidR="00C261FB" w:rsidRDefault="00996D2C" w:rsidP="00996D2C">
      <w:pPr>
        <w:widowControl w:val="0"/>
        <w:numPr>
          <w:ilvl w:val="0"/>
          <w:numId w:val="5"/>
        </w:numPr>
      </w:pPr>
      <w:bookmarkStart w:id="28" w:name="_Ref513570710"/>
      <w:r w:rsidRPr="00996D2C">
        <w:t>R4-1806352</w:t>
      </w:r>
      <w:r w:rsidR="00C261FB">
        <w:t xml:space="preserve">, </w:t>
      </w:r>
      <w:r w:rsidR="0038437A">
        <w:t>“</w:t>
      </w:r>
      <w:r w:rsidR="0038437A" w:rsidRPr="0038437A">
        <w:t>Network Performance Analysis for Spherical Coverage</w:t>
      </w:r>
      <w:r w:rsidR="00C261FB">
        <w:t>,</w:t>
      </w:r>
      <w:r w:rsidR="0038437A">
        <w:t>”</w:t>
      </w:r>
      <w:r w:rsidR="00C261FB">
        <w:t xml:space="preserve"> Apple Inc., 3GPP RAN4 #87, May 2018</w:t>
      </w:r>
      <w:bookmarkEnd w:id="28"/>
    </w:p>
    <w:p w:rsidR="00C87764" w:rsidRDefault="007E4854" w:rsidP="00056ABA">
      <w:pPr>
        <w:widowControl w:val="0"/>
        <w:numPr>
          <w:ilvl w:val="0"/>
          <w:numId w:val="5"/>
        </w:numPr>
      </w:pPr>
      <w:bookmarkStart w:id="29" w:name="_Ref513646084"/>
      <w:r w:rsidRPr="007E4854">
        <w:t>R4-1806183</w:t>
      </w:r>
      <w:r w:rsidR="00C87764">
        <w:t>, “</w:t>
      </w:r>
      <w:r w:rsidR="00C87764" w:rsidRPr="00C87764">
        <w:t>Proposals for concluding the spherical coverage requirement for FR2 handheld UEs</w:t>
      </w:r>
      <w:r w:rsidR="00C87764">
        <w:t xml:space="preserve">,” </w:t>
      </w:r>
      <w:r w:rsidR="00056ABA" w:rsidRPr="00056ABA">
        <w:t>Apple Inc., Intel Corporation, vivo, Xiaomi, OPPO, SGS Wireless, TCL, Spreadtrum, Asus, Kyocera</w:t>
      </w:r>
      <w:r w:rsidR="00C87764">
        <w:t>, 3GPP RAN4 #87, May 2018</w:t>
      </w:r>
      <w:bookmarkEnd w:id="29"/>
    </w:p>
    <w:p w:rsidR="00C22106" w:rsidRPr="00DC0534" w:rsidRDefault="00C22106" w:rsidP="00C22106">
      <w:pPr>
        <w:widowControl w:val="0"/>
      </w:pPr>
    </w:p>
    <w:p w:rsidR="00C22106" w:rsidRPr="00DC0534" w:rsidRDefault="00C22106">
      <w:pPr>
        <w:widowControl w:val="0"/>
      </w:pPr>
    </w:p>
    <w:p w:rsidR="00954E15" w:rsidRPr="00DC0534" w:rsidRDefault="00954E15">
      <w:pPr>
        <w:widowControl w:val="0"/>
      </w:pPr>
    </w:p>
    <w:p w:rsidR="00AA1A60" w:rsidRPr="00DC0534" w:rsidRDefault="00AA1A60">
      <w:pPr>
        <w:widowControl w:val="0"/>
      </w:pPr>
    </w:p>
    <w:p w:rsidR="00A80E48" w:rsidRPr="00DC0534" w:rsidRDefault="00A80E48">
      <w:pPr>
        <w:widowControl w:val="0"/>
      </w:pPr>
    </w:p>
    <w:sectPr w:rsidR="00A80E48" w:rsidRPr="00DC0534" w:rsidSect="00C775EF">
      <w:headerReference w:type="even" r:id="rId21"/>
      <w:footerReference w:type="even" r:id="rId22"/>
      <w:footerReference w:type="default" r:id="rId23"/>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6AA0" w:rsidRDefault="002E6AA0">
      <w:r>
        <w:separator/>
      </w:r>
    </w:p>
  </w:endnote>
  <w:endnote w:type="continuationSeparator" w:id="0">
    <w:p w:rsidR="002E6AA0" w:rsidRDefault="002E6AA0">
      <w:r>
        <w:continuationSeparator/>
      </w:r>
    </w:p>
  </w:endnote>
  <w:endnote w:type="continuationNotice" w:id="1">
    <w:p w:rsidR="002E6AA0" w:rsidRDefault="002E6A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ew York">
    <w:panose1 w:val="020B06040202020202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incho">
    <w:altName w:val="明朝"/>
    <w:panose1 w:val="020B0604020202020204"/>
    <w:charset w:val="80"/>
    <w:family w:val="roman"/>
    <w:pitch w:val="fixed"/>
    <w:sig w:usb0="00002A87" w:usb1="08070000" w:usb2="00000010" w:usb3="00000000" w:csb0="0002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panose1 w:val="020B0604020202020204"/>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Vrinda">
    <w:panose1 w:val="020B0604020202020204"/>
    <w:charset w:val="01"/>
    <w:family w:val="roman"/>
    <w:pitch w:val="variable"/>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38B3" w:rsidRDefault="001F38B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F38B3" w:rsidRDefault="001F38B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38B3" w:rsidRPr="00DB1239" w:rsidRDefault="001F38B3"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6AA0" w:rsidRDefault="002E6AA0">
      <w:r>
        <w:separator/>
      </w:r>
    </w:p>
  </w:footnote>
  <w:footnote w:type="continuationSeparator" w:id="0">
    <w:p w:rsidR="002E6AA0" w:rsidRDefault="002E6AA0">
      <w:r>
        <w:continuationSeparator/>
      </w:r>
    </w:p>
  </w:footnote>
  <w:footnote w:type="continuationNotice" w:id="1">
    <w:p w:rsidR="002E6AA0" w:rsidRDefault="002E6A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38B3" w:rsidRDefault="001F38B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2"/>
    <w:multiLevelType w:val="hybridMultilevel"/>
    <w:tmpl w:val="00000002"/>
    <w:lvl w:ilvl="0" w:tplc="00000065">
      <w:start w:val="1"/>
      <w:numFmt w:val="bullet"/>
      <w:lvlText w:val="•"/>
      <w:lvlJc w:val="left"/>
      <w:pPr>
        <w:ind w:left="360" w:hanging="360"/>
      </w:pPr>
    </w:lvl>
    <w:lvl w:ilvl="1" w:tplc="00000066">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15E52781"/>
    <w:multiLevelType w:val="hybridMultilevel"/>
    <w:tmpl w:val="B94625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1F2F088B"/>
    <w:multiLevelType w:val="hybridMultilevel"/>
    <w:tmpl w:val="BACE26FA"/>
    <w:lvl w:ilvl="0" w:tplc="A8381606">
      <w:start w:val="1"/>
      <w:numFmt w:val="bullet"/>
      <w:lvlText w:val="•"/>
      <w:lvlJc w:val="left"/>
      <w:pPr>
        <w:tabs>
          <w:tab w:val="num" w:pos="720"/>
        </w:tabs>
        <w:ind w:left="720" w:hanging="360"/>
      </w:pPr>
      <w:rPr>
        <w:rFonts w:ascii="Arial" w:hAnsi="Arial" w:hint="default"/>
      </w:rPr>
    </w:lvl>
    <w:lvl w:ilvl="1" w:tplc="45C653AC">
      <w:start w:val="274"/>
      <w:numFmt w:val="bullet"/>
      <w:lvlText w:val="•"/>
      <w:lvlJc w:val="left"/>
      <w:pPr>
        <w:tabs>
          <w:tab w:val="num" w:pos="1440"/>
        </w:tabs>
        <w:ind w:left="1440" w:hanging="360"/>
      </w:pPr>
      <w:rPr>
        <w:rFonts w:ascii="Arial" w:hAnsi="Arial" w:hint="default"/>
      </w:rPr>
    </w:lvl>
    <w:lvl w:ilvl="2" w:tplc="45F2D9DC">
      <w:start w:val="274"/>
      <w:numFmt w:val="bullet"/>
      <w:lvlText w:val="•"/>
      <w:lvlJc w:val="left"/>
      <w:pPr>
        <w:tabs>
          <w:tab w:val="num" w:pos="2160"/>
        </w:tabs>
        <w:ind w:left="2160" w:hanging="360"/>
      </w:pPr>
      <w:rPr>
        <w:rFonts w:ascii="Arial" w:hAnsi="Arial" w:hint="default"/>
      </w:rPr>
    </w:lvl>
    <w:lvl w:ilvl="3" w:tplc="65BC6B6E" w:tentative="1">
      <w:start w:val="1"/>
      <w:numFmt w:val="bullet"/>
      <w:lvlText w:val="•"/>
      <w:lvlJc w:val="left"/>
      <w:pPr>
        <w:tabs>
          <w:tab w:val="num" w:pos="2880"/>
        </w:tabs>
        <w:ind w:left="2880" w:hanging="360"/>
      </w:pPr>
      <w:rPr>
        <w:rFonts w:ascii="Arial" w:hAnsi="Arial" w:hint="default"/>
      </w:rPr>
    </w:lvl>
    <w:lvl w:ilvl="4" w:tplc="CEFC526A" w:tentative="1">
      <w:start w:val="1"/>
      <w:numFmt w:val="bullet"/>
      <w:lvlText w:val="•"/>
      <w:lvlJc w:val="left"/>
      <w:pPr>
        <w:tabs>
          <w:tab w:val="num" w:pos="3600"/>
        </w:tabs>
        <w:ind w:left="3600" w:hanging="360"/>
      </w:pPr>
      <w:rPr>
        <w:rFonts w:ascii="Arial" w:hAnsi="Arial" w:hint="default"/>
      </w:rPr>
    </w:lvl>
    <w:lvl w:ilvl="5" w:tplc="33B88F82" w:tentative="1">
      <w:start w:val="1"/>
      <w:numFmt w:val="bullet"/>
      <w:lvlText w:val="•"/>
      <w:lvlJc w:val="left"/>
      <w:pPr>
        <w:tabs>
          <w:tab w:val="num" w:pos="4320"/>
        </w:tabs>
        <w:ind w:left="4320" w:hanging="360"/>
      </w:pPr>
      <w:rPr>
        <w:rFonts w:ascii="Arial" w:hAnsi="Arial" w:hint="default"/>
      </w:rPr>
    </w:lvl>
    <w:lvl w:ilvl="6" w:tplc="061CA6CA" w:tentative="1">
      <w:start w:val="1"/>
      <w:numFmt w:val="bullet"/>
      <w:lvlText w:val="•"/>
      <w:lvlJc w:val="left"/>
      <w:pPr>
        <w:tabs>
          <w:tab w:val="num" w:pos="5040"/>
        </w:tabs>
        <w:ind w:left="5040" w:hanging="360"/>
      </w:pPr>
      <w:rPr>
        <w:rFonts w:ascii="Arial" w:hAnsi="Arial" w:hint="default"/>
      </w:rPr>
    </w:lvl>
    <w:lvl w:ilvl="7" w:tplc="078AA5EA" w:tentative="1">
      <w:start w:val="1"/>
      <w:numFmt w:val="bullet"/>
      <w:lvlText w:val="•"/>
      <w:lvlJc w:val="left"/>
      <w:pPr>
        <w:tabs>
          <w:tab w:val="num" w:pos="5760"/>
        </w:tabs>
        <w:ind w:left="5760" w:hanging="360"/>
      </w:pPr>
      <w:rPr>
        <w:rFonts w:ascii="Arial" w:hAnsi="Arial" w:hint="default"/>
      </w:rPr>
    </w:lvl>
    <w:lvl w:ilvl="8" w:tplc="72F0CA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FA1883"/>
    <w:multiLevelType w:val="hybridMultilevel"/>
    <w:tmpl w:val="17C42C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5A1C22D6"/>
    <w:multiLevelType w:val="hybridMultilevel"/>
    <w:tmpl w:val="3534644E"/>
    <w:lvl w:ilvl="0" w:tplc="8C6C6D3A">
      <w:start w:val="1"/>
      <w:numFmt w:val="bullet"/>
      <w:lvlText w:val="•"/>
      <w:lvlJc w:val="left"/>
      <w:pPr>
        <w:tabs>
          <w:tab w:val="num" w:pos="720"/>
        </w:tabs>
        <w:ind w:left="720" w:hanging="360"/>
      </w:pPr>
      <w:rPr>
        <w:rFonts w:ascii="Arial" w:hAnsi="Arial" w:hint="default"/>
      </w:rPr>
    </w:lvl>
    <w:lvl w:ilvl="1" w:tplc="A8E02A0A">
      <w:start w:val="193"/>
      <w:numFmt w:val="bullet"/>
      <w:lvlText w:val="•"/>
      <w:lvlJc w:val="left"/>
      <w:pPr>
        <w:tabs>
          <w:tab w:val="num" w:pos="1440"/>
        </w:tabs>
        <w:ind w:left="1440" w:hanging="360"/>
      </w:pPr>
      <w:rPr>
        <w:rFonts w:ascii="Arial" w:hAnsi="Arial" w:hint="default"/>
      </w:rPr>
    </w:lvl>
    <w:lvl w:ilvl="2" w:tplc="15A60A0A" w:tentative="1">
      <w:start w:val="1"/>
      <w:numFmt w:val="bullet"/>
      <w:lvlText w:val="•"/>
      <w:lvlJc w:val="left"/>
      <w:pPr>
        <w:tabs>
          <w:tab w:val="num" w:pos="2160"/>
        </w:tabs>
        <w:ind w:left="2160" w:hanging="360"/>
      </w:pPr>
      <w:rPr>
        <w:rFonts w:ascii="Arial" w:hAnsi="Arial" w:hint="default"/>
      </w:rPr>
    </w:lvl>
    <w:lvl w:ilvl="3" w:tplc="9E268B62" w:tentative="1">
      <w:start w:val="1"/>
      <w:numFmt w:val="bullet"/>
      <w:lvlText w:val="•"/>
      <w:lvlJc w:val="left"/>
      <w:pPr>
        <w:tabs>
          <w:tab w:val="num" w:pos="2880"/>
        </w:tabs>
        <w:ind w:left="2880" w:hanging="360"/>
      </w:pPr>
      <w:rPr>
        <w:rFonts w:ascii="Arial" w:hAnsi="Arial" w:hint="default"/>
      </w:rPr>
    </w:lvl>
    <w:lvl w:ilvl="4" w:tplc="9182B474" w:tentative="1">
      <w:start w:val="1"/>
      <w:numFmt w:val="bullet"/>
      <w:lvlText w:val="•"/>
      <w:lvlJc w:val="left"/>
      <w:pPr>
        <w:tabs>
          <w:tab w:val="num" w:pos="3600"/>
        </w:tabs>
        <w:ind w:left="3600" w:hanging="360"/>
      </w:pPr>
      <w:rPr>
        <w:rFonts w:ascii="Arial" w:hAnsi="Arial" w:hint="default"/>
      </w:rPr>
    </w:lvl>
    <w:lvl w:ilvl="5" w:tplc="76643FD0" w:tentative="1">
      <w:start w:val="1"/>
      <w:numFmt w:val="bullet"/>
      <w:lvlText w:val="•"/>
      <w:lvlJc w:val="left"/>
      <w:pPr>
        <w:tabs>
          <w:tab w:val="num" w:pos="4320"/>
        </w:tabs>
        <w:ind w:left="4320" w:hanging="360"/>
      </w:pPr>
      <w:rPr>
        <w:rFonts w:ascii="Arial" w:hAnsi="Arial" w:hint="default"/>
      </w:rPr>
    </w:lvl>
    <w:lvl w:ilvl="6" w:tplc="86A604FE" w:tentative="1">
      <w:start w:val="1"/>
      <w:numFmt w:val="bullet"/>
      <w:lvlText w:val="•"/>
      <w:lvlJc w:val="left"/>
      <w:pPr>
        <w:tabs>
          <w:tab w:val="num" w:pos="5040"/>
        </w:tabs>
        <w:ind w:left="5040" w:hanging="360"/>
      </w:pPr>
      <w:rPr>
        <w:rFonts w:ascii="Arial" w:hAnsi="Arial" w:hint="default"/>
      </w:rPr>
    </w:lvl>
    <w:lvl w:ilvl="7" w:tplc="D952DA3E" w:tentative="1">
      <w:start w:val="1"/>
      <w:numFmt w:val="bullet"/>
      <w:lvlText w:val="•"/>
      <w:lvlJc w:val="left"/>
      <w:pPr>
        <w:tabs>
          <w:tab w:val="num" w:pos="5760"/>
        </w:tabs>
        <w:ind w:left="5760" w:hanging="360"/>
      </w:pPr>
      <w:rPr>
        <w:rFonts w:ascii="Arial" w:hAnsi="Arial" w:hint="default"/>
      </w:rPr>
    </w:lvl>
    <w:lvl w:ilvl="8" w:tplc="34B21E1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B5519D3"/>
    <w:multiLevelType w:val="hybridMultilevel"/>
    <w:tmpl w:val="69881F0E"/>
    <w:lvl w:ilvl="0" w:tplc="BC546BD8">
      <w:start w:val="3"/>
      <w:numFmt w:val="bullet"/>
      <w:pStyle w:val="ListParagraph"/>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9B64C2E"/>
    <w:multiLevelType w:val="hybridMultilevel"/>
    <w:tmpl w:val="47B680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num w:numId="1">
    <w:abstractNumId w:val="7"/>
  </w:num>
  <w:num w:numId="2">
    <w:abstractNumId w:val="6"/>
  </w:num>
  <w:num w:numId="3">
    <w:abstractNumId w:val="9"/>
  </w:num>
  <w:num w:numId="4">
    <w:abstractNumId w:val="2"/>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num>
  <w:num w:numId="7">
    <w:abstractNumId w:val="3"/>
  </w:num>
  <w:num w:numId="8">
    <w:abstractNumId w:val="8"/>
  </w:num>
  <w:num w:numId="9">
    <w:abstractNumId w:val="10"/>
  </w:num>
  <w:num w:numId="10">
    <w:abstractNumId w:val="0"/>
  </w:num>
  <w:num w:numId="11">
    <w:abstractNumId w:val="1"/>
  </w:num>
  <w:num w:numId="12">
    <w:abstractNumId w:val="11"/>
  </w:num>
  <w:num w:numId="13">
    <w:abstractNumId w:val="12"/>
  </w:num>
  <w:num w:numId="14">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1"/>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96"/>
    <w:rsid w:val="000000A2"/>
    <w:rsid w:val="000004CA"/>
    <w:rsid w:val="00000515"/>
    <w:rsid w:val="000006E7"/>
    <w:rsid w:val="00000ECA"/>
    <w:rsid w:val="00000F2A"/>
    <w:rsid w:val="00001FC3"/>
    <w:rsid w:val="000020C0"/>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37B"/>
    <w:rsid w:val="00011519"/>
    <w:rsid w:val="00011595"/>
    <w:rsid w:val="00011703"/>
    <w:rsid w:val="000118B4"/>
    <w:rsid w:val="00011AB7"/>
    <w:rsid w:val="000121EC"/>
    <w:rsid w:val="000124D1"/>
    <w:rsid w:val="0001266C"/>
    <w:rsid w:val="00012D90"/>
    <w:rsid w:val="00012DCC"/>
    <w:rsid w:val="0001321B"/>
    <w:rsid w:val="000137FF"/>
    <w:rsid w:val="00013A7B"/>
    <w:rsid w:val="00013B23"/>
    <w:rsid w:val="00013B63"/>
    <w:rsid w:val="00014035"/>
    <w:rsid w:val="000141F0"/>
    <w:rsid w:val="00015204"/>
    <w:rsid w:val="00015BCB"/>
    <w:rsid w:val="00015FB7"/>
    <w:rsid w:val="00016013"/>
    <w:rsid w:val="000162B2"/>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5C"/>
    <w:rsid w:val="00034698"/>
    <w:rsid w:val="00034787"/>
    <w:rsid w:val="00034805"/>
    <w:rsid w:val="000349B7"/>
    <w:rsid w:val="00034C16"/>
    <w:rsid w:val="00034DC2"/>
    <w:rsid w:val="000350B6"/>
    <w:rsid w:val="0003540B"/>
    <w:rsid w:val="00035518"/>
    <w:rsid w:val="0003572F"/>
    <w:rsid w:val="00035CAB"/>
    <w:rsid w:val="000361C6"/>
    <w:rsid w:val="0003667C"/>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FC4"/>
    <w:rsid w:val="000451E5"/>
    <w:rsid w:val="000453F6"/>
    <w:rsid w:val="000458CB"/>
    <w:rsid w:val="00045AC3"/>
    <w:rsid w:val="00045B15"/>
    <w:rsid w:val="00046CD6"/>
    <w:rsid w:val="00046CE4"/>
    <w:rsid w:val="00046F9A"/>
    <w:rsid w:val="0004713D"/>
    <w:rsid w:val="000472F3"/>
    <w:rsid w:val="0004730E"/>
    <w:rsid w:val="0004746D"/>
    <w:rsid w:val="000475B5"/>
    <w:rsid w:val="0004778C"/>
    <w:rsid w:val="000477BB"/>
    <w:rsid w:val="0004781D"/>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235"/>
    <w:rsid w:val="00056ABA"/>
    <w:rsid w:val="000572A7"/>
    <w:rsid w:val="00057460"/>
    <w:rsid w:val="00057496"/>
    <w:rsid w:val="000574E1"/>
    <w:rsid w:val="00057511"/>
    <w:rsid w:val="00057817"/>
    <w:rsid w:val="00057AD4"/>
    <w:rsid w:val="00057DF9"/>
    <w:rsid w:val="00057F2C"/>
    <w:rsid w:val="00057F68"/>
    <w:rsid w:val="00057F6C"/>
    <w:rsid w:val="00057FE7"/>
    <w:rsid w:val="00060586"/>
    <w:rsid w:val="00060F2F"/>
    <w:rsid w:val="00060FDB"/>
    <w:rsid w:val="000612C5"/>
    <w:rsid w:val="00061C96"/>
    <w:rsid w:val="00061E34"/>
    <w:rsid w:val="000621A9"/>
    <w:rsid w:val="0006263A"/>
    <w:rsid w:val="000632FF"/>
    <w:rsid w:val="00063485"/>
    <w:rsid w:val="00063CA3"/>
    <w:rsid w:val="00063F57"/>
    <w:rsid w:val="00063F9F"/>
    <w:rsid w:val="00064224"/>
    <w:rsid w:val="0006436D"/>
    <w:rsid w:val="0006480B"/>
    <w:rsid w:val="00064A18"/>
    <w:rsid w:val="00064A2B"/>
    <w:rsid w:val="0006549C"/>
    <w:rsid w:val="00065636"/>
    <w:rsid w:val="00065D64"/>
    <w:rsid w:val="000667D1"/>
    <w:rsid w:val="00066942"/>
    <w:rsid w:val="00066BB7"/>
    <w:rsid w:val="00066E05"/>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E8"/>
    <w:rsid w:val="00073D56"/>
    <w:rsid w:val="00074375"/>
    <w:rsid w:val="000743A0"/>
    <w:rsid w:val="000748A2"/>
    <w:rsid w:val="00074A66"/>
    <w:rsid w:val="00074BF5"/>
    <w:rsid w:val="00074E65"/>
    <w:rsid w:val="000752CD"/>
    <w:rsid w:val="00075680"/>
    <w:rsid w:val="000756C6"/>
    <w:rsid w:val="0007590A"/>
    <w:rsid w:val="00075999"/>
    <w:rsid w:val="00075FE3"/>
    <w:rsid w:val="00076622"/>
    <w:rsid w:val="00076775"/>
    <w:rsid w:val="00076D63"/>
    <w:rsid w:val="00077579"/>
    <w:rsid w:val="00077A78"/>
    <w:rsid w:val="00077DCF"/>
    <w:rsid w:val="00080170"/>
    <w:rsid w:val="00080175"/>
    <w:rsid w:val="000805B2"/>
    <w:rsid w:val="00080786"/>
    <w:rsid w:val="00080D74"/>
    <w:rsid w:val="00080E2A"/>
    <w:rsid w:val="00082152"/>
    <w:rsid w:val="000826FF"/>
    <w:rsid w:val="00082A49"/>
    <w:rsid w:val="00082C27"/>
    <w:rsid w:val="00082DA4"/>
    <w:rsid w:val="00082E54"/>
    <w:rsid w:val="0008318E"/>
    <w:rsid w:val="00083322"/>
    <w:rsid w:val="000833CA"/>
    <w:rsid w:val="000836DA"/>
    <w:rsid w:val="00083788"/>
    <w:rsid w:val="00083F02"/>
    <w:rsid w:val="00083FE2"/>
    <w:rsid w:val="00084255"/>
    <w:rsid w:val="00084937"/>
    <w:rsid w:val="00085239"/>
    <w:rsid w:val="00085E32"/>
    <w:rsid w:val="000861E4"/>
    <w:rsid w:val="0008629E"/>
    <w:rsid w:val="000862BA"/>
    <w:rsid w:val="00086B50"/>
    <w:rsid w:val="00086C4D"/>
    <w:rsid w:val="00086CF2"/>
    <w:rsid w:val="0008731C"/>
    <w:rsid w:val="0008760B"/>
    <w:rsid w:val="00087881"/>
    <w:rsid w:val="00087BAB"/>
    <w:rsid w:val="00087E29"/>
    <w:rsid w:val="00087F45"/>
    <w:rsid w:val="00087F91"/>
    <w:rsid w:val="00090573"/>
    <w:rsid w:val="00090586"/>
    <w:rsid w:val="00090653"/>
    <w:rsid w:val="00091714"/>
    <w:rsid w:val="00091C21"/>
    <w:rsid w:val="000921E3"/>
    <w:rsid w:val="00092334"/>
    <w:rsid w:val="000923BD"/>
    <w:rsid w:val="000931C3"/>
    <w:rsid w:val="000938A0"/>
    <w:rsid w:val="00093B72"/>
    <w:rsid w:val="0009437A"/>
    <w:rsid w:val="000947B7"/>
    <w:rsid w:val="00095540"/>
    <w:rsid w:val="00095671"/>
    <w:rsid w:val="00095920"/>
    <w:rsid w:val="00095F53"/>
    <w:rsid w:val="0009612D"/>
    <w:rsid w:val="00096170"/>
    <w:rsid w:val="0009653B"/>
    <w:rsid w:val="0009680E"/>
    <w:rsid w:val="000968CF"/>
    <w:rsid w:val="000968D8"/>
    <w:rsid w:val="00096CF2"/>
    <w:rsid w:val="0009709B"/>
    <w:rsid w:val="000976D0"/>
    <w:rsid w:val="000979F0"/>
    <w:rsid w:val="00097AE8"/>
    <w:rsid w:val="000A0296"/>
    <w:rsid w:val="000A02DC"/>
    <w:rsid w:val="000A0C0B"/>
    <w:rsid w:val="000A0CA1"/>
    <w:rsid w:val="000A0E99"/>
    <w:rsid w:val="000A0F08"/>
    <w:rsid w:val="000A0F82"/>
    <w:rsid w:val="000A0F8E"/>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8D7"/>
    <w:rsid w:val="000A6AC6"/>
    <w:rsid w:val="000A6CFE"/>
    <w:rsid w:val="000A6EAA"/>
    <w:rsid w:val="000A72D0"/>
    <w:rsid w:val="000A7955"/>
    <w:rsid w:val="000A79C7"/>
    <w:rsid w:val="000A7C88"/>
    <w:rsid w:val="000A7E17"/>
    <w:rsid w:val="000B0190"/>
    <w:rsid w:val="000B02C2"/>
    <w:rsid w:val="000B02FC"/>
    <w:rsid w:val="000B041B"/>
    <w:rsid w:val="000B081C"/>
    <w:rsid w:val="000B10AB"/>
    <w:rsid w:val="000B12E0"/>
    <w:rsid w:val="000B17A1"/>
    <w:rsid w:val="000B191D"/>
    <w:rsid w:val="000B1CD3"/>
    <w:rsid w:val="000B22B6"/>
    <w:rsid w:val="000B2557"/>
    <w:rsid w:val="000B256B"/>
    <w:rsid w:val="000B2619"/>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3209"/>
    <w:rsid w:val="000C37B2"/>
    <w:rsid w:val="000C393F"/>
    <w:rsid w:val="000C395B"/>
    <w:rsid w:val="000C3987"/>
    <w:rsid w:val="000C3F16"/>
    <w:rsid w:val="000C4C76"/>
    <w:rsid w:val="000C54A6"/>
    <w:rsid w:val="000C550B"/>
    <w:rsid w:val="000C5759"/>
    <w:rsid w:val="000C5B91"/>
    <w:rsid w:val="000C5E7D"/>
    <w:rsid w:val="000C6564"/>
    <w:rsid w:val="000C673C"/>
    <w:rsid w:val="000C69F8"/>
    <w:rsid w:val="000C71D9"/>
    <w:rsid w:val="000C7C3E"/>
    <w:rsid w:val="000D037E"/>
    <w:rsid w:val="000D05DF"/>
    <w:rsid w:val="000D0A0F"/>
    <w:rsid w:val="000D0AB8"/>
    <w:rsid w:val="000D0BCC"/>
    <w:rsid w:val="000D0F9A"/>
    <w:rsid w:val="000D148D"/>
    <w:rsid w:val="000D14EB"/>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268"/>
    <w:rsid w:val="000D7383"/>
    <w:rsid w:val="000D745D"/>
    <w:rsid w:val="000D75CC"/>
    <w:rsid w:val="000D75EE"/>
    <w:rsid w:val="000D7783"/>
    <w:rsid w:val="000D7A10"/>
    <w:rsid w:val="000D7C7C"/>
    <w:rsid w:val="000E011D"/>
    <w:rsid w:val="000E0706"/>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F51"/>
    <w:rsid w:val="000F00D8"/>
    <w:rsid w:val="000F04CE"/>
    <w:rsid w:val="000F0771"/>
    <w:rsid w:val="000F095B"/>
    <w:rsid w:val="000F0B56"/>
    <w:rsid w:val="000F11B4"/>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3C08"/>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FD3"/>
    <w:rsid w:val="001106C0"/>
    <w:rsid w:val="00111114"/>
    <w:rsid w:val="00111486"/>
    <w:rsid w:val="001115C0"/>
    <w:rsid w:val="001115F4"/>
    <w:rsid w:val="001118AA"/>
    <w:rsid w:val="00111AD9"/>
    <w:rsid w:val="00111AFE"/>
    <w:rsid w:val="00111B0A"/>
    <w:rsid w:val="001122B0"/>
    <w:rsid w:val="001126B0"/>
    <w:rsid w:val="00112A3D"/>
    <w:rsid w:val="00112B8F"/>
    <w:rsid w:val="00112D41"/>
    <w:rsid w:val="001134DA"/>
    <w:rsid w:val="001136ED"/>
    <w:rsid w:val="0011372B"/>
    <w:rsid w:val="00113A83"/>
    <w:rsid w:val="00113D8B"/>
    <w:rsid w:val="00113D8F"/>
    <w:rsid w:val="001140FA"/>
    <w:rsid w:val="001141CF"/>
    <w:rsid w:val="00114379"/>
    <w:rsid w:val="0011459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1316"/>
    <w:rsid w:val="0012142A"/>
    <w:rsid w:val="001215DB"/>
    <w:rsid w:val="00121897"/>
    <w:rsid w:val="001218BF"/>
    <w:rsid w:val="00121AA1"/>
    <w:rsid w:val="00122153"/>
    <w:rsid w:val="00122581"/>
    <w:rsid w:val="00122842"/>
    <w:rsid w:val="00122BFB"/>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0BA"/>
    <w:rsid w:val="0012641F"/>
    <w:rsid w:val="00126D98"/>
    <w:rsid w:val="00126DAB"/>
    <w:rsid w:val="001273CA"/>
    <w:rsid w:val="001274AC"/>
    <w:rsid w:val="001275E6"/>
    <w:rsid w:val="001277CF"/>
    <w:rsid w:val="00127DE2"/>
    <w:rsid w:val="00127F28"/>
    <w:rsid w:val="00127F4C"/>
    <w:rsid w:val="001301E5"/>
    <w:rsid w:val="00130714"/>
    <w:rsid w:val="00130953"/>
    <w:rsid w:val="00130A25"/>
    <w:rsid w:val="00130B2D"/>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3CE"/>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6129"/>
    <w:rsid w:val="0014624C"/>
    <w:rsid w:val="00146491"/>
    <w:rsid w:val="0014652F"/>
    <w:rsid w:val="00146BC8"/>
    <w:rsid w:val="00146FDA"/>
    <w:rsid w:val="001473A6"/>
    <w:rsid w:val="00147D65"/>
    <w:rsid w:val="00147D91"/>
    <w:rsid w:val="001508E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6B29"/>
    <w:rsid w:val="0015722A"/>
    <w:rsid w:val="0016019C"/>
    <w:rsid w:val="00160674"/>
    <w:rsid w:val="00160786"/>
    <w:rsid w:val="00160D2A"/>
    <w:rsid w:val="0016117C"/>
    <w:rsid w:val="001613AD"/>
    <w:rsid w:val="001616AF"/>
    <w:rsid w:val="001618A3"/>
    <w:rsid w:val="0016223A"/>
    <w:rsid w:val="00162262"/>
    <w:rsid w:val="00162898"/>
    <w:rsid w:val="00162BD5"/>
    <w:rsid w:val="00162CF1"/>
    <w:rsid w:val="00162F82"/>
    <w:rsid w:val="001630E4"/>
    <w:rsid w:val="00163271"/>
    <w:rsid w:val="001639BC"/>
    <w:rsid w:val="00163AFC"/>
    <w:rsid w:val="0016432F"/>
    <w:rsid w:val="001644CC"/>
    <w:rsid w:val="00164646"/>
    <w:rsid w:val="001647FA"/>
    <w:rsid w:val="001649D4"/>
    <w:rsid w:val="00164CF5"/>
    <w:rsid w:val="00165137"/>
    <w:rsid w:val="001651AA"/>
    <w:rsid w:val="00165337"/>
    <w:rsid w:val="0016634F"/>
    <w:rsid w:val="00166994"/>
    <w:rsid w:val="001669F9"/>
    <w:rsid w:val="0016700E"/>
    <w:rsid w:val="0016711A"/>
    <w:rsid w:val="0016764C"/>
    <w:rsid w:val="00167709"/>
    <w:rsid w:val="001678ED"/>
    <w:rsid w:val="00170248"/>
    <w:rsid w:val="00170397"/>
    <w:rsid w:val="001703EB"/>
    <w:rsid w:val="0017048A"/>
    <w:rsid w:val="001706E4"/>
    <w:rsid w:val="001708D0"/>
    <w:rsid w:val="00170F0F"/>
    <w:rsid w:val="00171261"/>
    <w:rsid w:val="00171944"/>
    <w:rsid w:val="00171D7E"/>
    <w:rsid w:val="00171F14"/>
    <w:rsid w:val="0017226B"/>
    <w:rsid w:val="00172403"/>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35F"/>
    <w:rsid w:val="00175B5A"/>
    <w:rsid w:val="00175E60"/>
    <w:rsid w:val="00176414"/>
    <w:rsid w:val="00176577"/>
    <w:rsid w:val="0017676C"/>
    <w:rsid w:val="00176E7D"/>
    <w:rsid w:val="00177036"/>
    <w:rsid w:val="0017714C"/>
    <w:rsid w:val="0017722E"/>
    <w:rsid w:val="00177583"/>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649"/>
    <w:rsid w:val="00186B4D"/>
    <w:rsid w:val="0018767B"/>
    <w:rsid w:val="0019022C"/>
    <w:rsid w:val="00190307"/>
    <w:rsid w:val="00190927"/>
    <w:rsid w:val="00190BD5"/>
    <w:rsid w:val="00191132"/>
    <w:rsid w:val="0019128F"/>
    <w:rsid w:val="00191727"/>
    <w:rsid w:val="00191A0A"/>
    <w:rsid w:val="00191A2B"/>
    <w:rsid w:val="00191EBF"/>
    <w:rsid w:val="001923B2"/>
    <w:rsid w:val="001925E5"/>
    <w:rsid w:val="00192A10"/>
    <w:rsid w:val="00192D98"/>
    <w:rsid w:val="00193747"/>
    <w:rsid w:val="00193845"/>
    <w:rsid w:val="00193987"/>
    <w:rsid w:val="00195082"/>
    <w:rsid w:val="0019573B"/>
    <w:rsid w:val="0019592C"/>
    <w:rsid w:val="00196066"/>
    <w:rsid w:val="00196085"/>
    <w:rsid w:val="00196300"/>
    <w:rsid w:val="00196A48"/>
    <w:rsid w:val="00196B90"/>
    <w:rsid w:val="00196FF4"/>
    <w:rsid w:val="0019734F"/>
    <w:rsid w:val="00197458"/>
    <w:rsid w:val="001976E2"/>
    <w:rsid w:val="001A0303"/>
    <w:rsid w:val="001A032E"/>
    <w:rsid w:val="001A0421"/>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263"/>
    <w:rsid w:val="001A43B8"/>
    <w:rsid w:val="001A4EDF"/>
    <w:rsid w:val="001A5174"/>
    <w:rsid w:val="001A5C4B"/>
    <w:rsid w:val="001A61A0"/>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023"/>
    <w:rsid w:val="001C619C"/>
    <w:rsid w:val="001C67D5"/>
    <w:rsid w:val="001C6CDC"/>
    <w:rsid w:val="001C7185"/>
    <w:rsid w:val="001C76FC"/>
    <w:rsid w:val="001C7AB6"/>
    <w:rsid w:val="001C7F47"/>
    <w:rsid w:val="001D006C"/>
    <w:rsid w:val="001D017C"/>
    <w:rsid w:val="001D0447"/>
    <w:rsid w:val="001D0578"/>
    <w:rsid w:val="001D0593"/>
    <w:rsid w:val="001D0C3F"/>
    <w:rsid w:val="001D1258"/>
    <w:rsid w:val="001D139F"/>
    <w:rsid w:val="001D13B0"/>
    <w:rsid w:val="001D19F8"/>
    <w:rsid w:val="001D1CFF"/>
    <w:rsid w:val="001D239A"/>
    <w:rsid w:val="001D2B3C"/>
    <w:rsid w:val="001D2BB2"/>
    <w:rsid w:val="001D2C75"/>
    <w:rsid w:val="001D2E6C"/>
    <w:rsid w:val="001D2ECD"/>
    <w:rsid w:val="001D329E"/>
    <w:rsid w:val="001D3A25"/>
    <w:rsid w:val="001D3C68"/>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4C3"/>
    <w:rsid w:val="001F0546"/>
    <w:rsid w:val="001F056D"/>
    <w:rsid w:val="001F09F9"/>
    <w:rsid w:val="001F0BCC"/>
    <w:rsid w:val="001F0DDF"/>
    <w:rsid w:val="001F125F"/>
    <w:rsid w:val="001F1575"/>
    <w:rsid w:val="001F15CC"/>
    <w:rsid w:val="001F16BF"/>
    <w:rsid w:val="001F16FD"/>
    <w:rsid w:val="001F1B1E"/>
    <w:rsid w:val="001F1DFA"/>
    <w:rsid w:val="001F1F07"/>
    <w:rsid w:val="001F22A9"/>
    <w:rsid w:val="001F22FE"/>
    <w:rsid w:val="001F2536"/>
    <w:rsid w:val="001F26E9"/>
    <w:rsid w:val="001F287C"/>
    <w:rsid w:val="001F2B48"/>
    <w:rsid w:val="001F2DF6"/>
    <w:rsid w:val="001F2E08"/>
    <w:rsid w:val="001F32F2"/>
    <w:rsid w:val="001F37ED"/>
    <w:rsid w:val="001F38B3"/>
    <w:rsid w:val="001F39AB"/>
    <w:rsid w:val="001F3FC0"/>
    <w:rsid w:val="001F45E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2C0"/>
    <w:rsid w:val="00203A6E"/>
    <w:rsid w:val="00203F00"/>
    <w:rsid w:val="00203F5C"/>
    <w:rsid w:val="002047DE"/>
    <w:rsid w:val="00204A5A"/>
    <w:rsid w:val="00204C12"/>
    <w:rsid w:val="00204C34"/>
    <w:rsid w:val="00204D22"/>
    <w:rsid w:val="00205635"/>
    <w:rsid w:val="002056B8"/>
    <w:rsid w:val="002058DC"/>
    <w:rsid w:val="00205AB2"/>
    <w:rsid w:val="00205CB2"/>
    <w:rsid w:val="00205E95"/>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86D"/>
    <w:rsid w:val="00215C99"/>
    <w:rsid w:val="002161EE"/>
    <w:rsid w:val="002162EA"/>
    <w:rsid w:val="00216362"/>
    <w:rsid w:val="002165F9"/>
    <w:rsid w:val="00216685"/>
    <w:rsid w:val="00216B17"/>
    <w:rsid w:val="00216BBF"/>
    <w:rsid w:val="00216CC6"/>
    <w:rsid w:val="00216E47"/>
    <w:rsid w:val="00217135"/>
    <w:rsid w:val="0021737B"/>
    <w:rsid w:val="00217CE8"/>
    <w:rsid w:val="0022000C"/>
    <w:rsid w:val="002202EC"/>
    <w:rsid w:val="002204ED"/>
    <w:rsid w:val="00220E92"/>
    <w:rsid w:val="002211DD"/>
    <w:rsid w:val="0022135D"/>
    <w:rsid w:val="00221B93"/>
    <w:rsid w:val="002222A4"/>
    <w:rsid w:val="00222366"/>
    <w:rsid w:val="00223111"/>
    <w:rsid w:val="00223322"/>
    <w:rsid w:val="0022337A"/>
    <w:rsid w:val="002237AE"/>
    <w:rsid w:val="00223833"/>
    <w:rsid w:val="00223ACD"/>
    <w:rsid w:val="00223ADC"/>
    <w:rsid w:val="00223F34"/>
    <w:rsid w:val="0022418D"/>
    <w:rsid w:val="002241C9"/>
    <w:rsid w:val="002245DB"/>
    <w:rsid w:val="00224A01"/>
    <w:rsid w:val="00224A9B"/>
    <w:rsid w:val="00224C25"/>
    <w:rsid w:val="00225161"/>
    <w:rsid w:val="0022564D"/>
    <w:rsid w:val="00225BC3"/>
    <w:rsid w:val="00225BEB"/>
    <w:rsid w:val="0022657F"/>
    <w:rsid w:val="002269A7"/>
    <w:rsid w:val="00226BD3"/>
    <w:rsid w:val="00226F21"/>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723"/>
    <w:rsid w:val="002349C5"/>
    <w:rsid w:val="00234E0D"/>
    <w:rsid w:val="00234E3A"/>
    <w:rsid w:val="00235109"/>
    <w:rsid w:val="00235143"/>
    <w:rsid w:val="00235581"/>
    <w:rsid w:val="00235698"/>
    <w:rsid w:val="00235724"/>
    <w:rsid w:val="00235A15"/>
    <w:rsid w:val="00235D72"/>
    <w:rsid w:val="00236400"/>
    <w:rsid w:val="002367D8"/>
    <w:rsid w:val="0023691F"/>
    <w:rsid w:val="00236ABB"/>
    <w:rsid w:val="00236AF0"/>
    <w:rsid w:val="00236D6C"/>
    <w:rsid w:val="00236E1F"/>
    <w:rsid w:val="00236F55"/>
    <w:rsid w:val="00236F71"/>
    <w:rsid w:val="002373FC"/>
    <w:rsid w:val="0023776F"/>
    <w:rsid w:val="00237C6F"/>
    <w:rsid w:val="00237D22"/>
    <w:rsid w:val="00240434"/>
    <w:rsid w:val="002406B1"/>
    <w:rsid w:val="002409A7"/>
    <w:rsid w:val="00240A69"/>
    <w:rsid w:val="00240B7D"/>
    <w:rsid w:val="00240F76"/>
    <w:rsid w:val="0024103F"/>
    <w:rsid w:val="00241C7B"/>
    <w:rsid w:val="002421F2"/>
    <w:rsid w:val="0024231F"/>
    <w:rsid w:val="0024297B"/>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3EA"/>
    <w:rsid w:val="00252A61"/>
    <w:rsid w:val="0025304C"/>
    <w:rsid w:val="002530CC"/>
    <w:rsid w:val="002530D6"/>
    <w:rsid w:val="002530D9"/>
    <w:rsid w:val="0025325D"/>
    <w:rsid w:val="002533FF"/>
    <w:rsid w:val="00253400"/>
    <w:rsid w:val="002534B8"/>
    <w:rsid w:val="002537F5"/>
    <w:rsid w:val="00253A89"/>
    <w:rsid w:val="00253D64"/>
    <w:rsid w:val="0025464E"/>
    <w:rsid w:val="00254D49"/>
    <w:rsid w:val="00254D76"/>
    <w:rsid w:val="00255C71"/>
    <w:rsid w:val="00255C73"/>
    <w:rsid w:val="00255D42"/>
    <w:rsid w:val="002569D5"/>
    <w:rsid w:val="00256D11"/>
    <w:rsid w:val="00256F02"/>
    <w:rsid w:val="002571C8"/>
    <w:rsid w:val="002571FE"/>
    <w:rsid w:val="002572F1"/>
    <w:rsid w:val="002574D9"/>
    <w:rsid w:val="002574F6"/>
    <w:rsid w:val="0025757A"/>
    <w:rsid w:val="00257A62"/>
    <w:rsid w:val="00257CB5"/>
    <w:rsid w:val="00260156"/>
    <w:rsid w:val="0026037C"/>
    <w:rsid w:val="0026075E"/>
    <w:rsid w:val="002609F8"/>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EB"/>
    <w:rsid w:val="00262E69"/>
    <w:rsid w:val="00263038"/>
    <w:rsid w:val="00263A20"/>
    <w:rsid w:val="00263B02"/>
    <w:rsid w:val="00263D8E"/>
    <w:rsid w:val="00263DD9"/>
    <w:rsid w:val="002643C7"/>
    <w:rsid w:val="0026455A"/>
    <w:rsid w:val="0026468A"/>
    <w:rsid w:val="00264C28"/>
    <w:rsid w:val="00264CD3"/>
    <w:rsid w:val="0026509A"/>
    <w:rsid w:val="002651FC"/>
    <w:rsid w:val="00265701"/>
    <w:rsid w:val="00265E9A"/>
    <w:rsid w:val="00266210"/>
    <w:rsid w:val="00266427"/>
    <w:rsid w:val="00267026"/>
    <w:rsid w:val="0026716C"/>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4391"/>
    <w:rsid w:val="002749C8"/>
    <w:rsid w:val="00274D08"/>
    <w:rsid w:val="00275266"/>
    <w:rsid w:val="00275435"/>
    <w:rsid w:val="00275464"/>
    <w:rsid w:val="0027568B"/>
    <w:rsid w:val="002756D5"/>
    <w:rsid w:val="002758B1"/>
    <w:rsid w:val="00276001"/>
    <w:rsid w:val="002764FB"/>
    <w:rsid w:val="00276BEE"/>
    <w:rsid w:val="00276EFA"/>
    <w:rsid w:val="00277076"/>
    <w:rsid w:val="002774A1"/>
    <w:rsid w:val="00277E66"/>
    <w:rsid w:val="002801E2"/>
    <w:rsid w:val="002801FE"/>
    <w:rsid w:val="0028024B"/>
    <w:rsid w:val="0028052D"/>
    <w:rsid w:val="00280684"/>
    <w:rsid w:val="00280706"/>
    <w:rsid w:val="0028073A"/>
    <w:rsid w:val="00280851"/>
    <w:rsid w:val="00280960"/>
    <w:rsid w:val="00280D6E"/>
    <w:rsid w:val="00281166"/>
    <w:rsid w:val="002821D2"/>
    <w:rsid w:val="002825CE"/>
    <w:rsid w:val="002826D0"/>
    <w:rsid w:val="00282872"/>
    <w:rsid w:val="0028298E"/>
    <w:rsid w:val="002829E8"/>
    <w:rsid w:val="00282FCB"/>
    <w:rsid w:val="0028316F"/>
    <w:rsid w:val="00283181"/>
    <w:rsid w:val="002832C5"/>
    <w:rsid w:val="002835A5"/>
    <w:rsid w:val="002836DC"/>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30A"/>
    <w:rsid w:val="0029267A"/>
    <w:rsid w:val="002928BD"/>
    <w:rsid w:val="00293504"/>
    <w:rsid w:val="002935D3"/>
    <w:rsid w:val="00293D2D"/>
    <w:rsid w:val="002944CA"/>
    <w:rsid w:val="00294722"/>
    <w:rsid w:val="00294AB1"/>
    <w:rsid w:val="00295018"/>
    <w:rsid w:val="00295226"/>
    <w:rsid w:val="0029548C"/>
    <w:rsid w:val="00295539"/>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5E8"/>
    <w:rsid w:val="002A4625"/>
    <w:rsid w:val="002A4918"/>
    <w:rsid w:val="002A4CD1"/>
    <w:rsid w:val="002A4E20"/>
    <w:rsid w:val="002A523D"/>
    <w:rsid w:val="002A5488"/>
    <w:rsid w:val="002A5D92"/>
    <w:rsid w:val="002A5FC1"/>
    <w:rsid w:val="002A60B6"/>
    <w:rsid w:val="002A6143"/>
    <w:rsid w:val="002A624D"/>
    <w:rsid w:val="002A66B1"/>
    <w:rsid w:val="002A6751"/>
    <w:rsid w:val="002A6BE7"/>
    <w:rsid w:val="002A6FDC"/>
    <w:rsid w:val="002A7234"/>
    <w:rsid w:val="002A732C"/>
    <w:rsid w:val="002A7364"/>
    <w:rsid w:val="002A7A6A"/>
    <w:rsid w:val="002A7AB4"/>
    <w:rsid w:val="002A7B72"/>
    <w:rsid w:val="002A7C3D"/>
    <w:rsid w:val="002B0232"/>
    <w:rsid w:val="002B0322"/>
    <w:rsid w:val="002B0343"/>
    <w:rsid w:val="002B03D8"/>
    <w:rsid w:val="002B049E"/>
    <w:rsid w:val="002B07BF"/>
    <w:rsid w:val="002B0805"/>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B786E"/>
    <w:rsid w:val="002C00D6"/>
    <w:rsid w:val="002C0400"/>
    <w:rsid w:val="002C04C2"/>
    <w:rsid w:val="002C0818"/>
    <w:rsid w:val="002C0AC9"/>
    <w:rsid w:val="002C0DD0"/>
    <w:rsid w:val="002C0E0A"/>
    <w:rsid w:val="002C1366"/>
    <w:rsid w:val="002C1368"/>
    <w:rsid w:val="002C1DF1"/>
    <w:rsid w:val="002C203A"/>
    <w:rsid w:val="002C2502"/>
    <w:rsid w:val="002C2E8A"/>
    <w:rsid w:val="002C2FCD"/>
    <w:rsid w:val="002C33D3"/>
    <w:rsid w:val="002C36D3"/>
    <w:rsid w:val="002C3AE4"/>
    <w:rsid w:val="002C3C99"/>
    <w:rsid w:val="002C3E89"/>
    <w:rsid w:val="002C43C3"/>
    <w:rsid w:val="002C4602"/>
    <w:rsid w:val="002C4DFD"/>
    <w:rsid w:val="002C4E7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2E02"/>
    <w:rsid w:val="002D2EE7"/>
    <w:rsid w:val="002D3968"/>
    <w:rsid w:val="002D3A66"/>
    <w:rsid w:val="002D425A"/>
    <w:rsid w:val="002D42E6"/>
    <w:rsid w:val="002D4322"/>
    <w:rsid w:val="002D4A54"/>
    <w:rsid w:val="002D4A85"/>
    <w:rsid w:val="002D4E37"/>
    <w:rsid w:val="002D52E0"/>
    <w:rsid w:val="002D5DEA"/>
    <w:rsid w:val="002D6127"/>
    <w:rsid w:val="002D62B2"/>
    <w:rsid w:val="002D68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154"/>
    <w:rsid w:val="002E16BC"/>
    <w:rsid w:val="002E1941"/>
    <w:rsid w:val="002E1A53"/>
    <w:rsid w:val="002E1ED8"/>
    <w:rsid w:val="002E21D5"/>
    <w:rsid w:val="002E251B"/>
    <w:rsid w:val="002E2846"/>
    <w:rsid w:val="002E2923"/>
    <w:rsid w:val="002E2A76"/>
    <w:rsid w:val="002E306D"/>
    <w:rsid w:val="002E3624"/>
    <w:rsid w:val="002E3653"/>
    <w:rsid w:val="002E36AE"/>
    <w:rsid w:val="002E38B7"/>
    <w:rsid w:val="002E3A8B"/>
    <w:rsid w:val="002E3AA6"/>
    <w:rsid w:val="002E4B7B"/>
    <w:rsid w:val="002E4C0E"/>
    <w:rsid w:val="002E501A"/>
    <w:rsid w:val="002E550C"/>
    <w:rsid w:val="002E58E1"/>
    <w:rsid w:val="002E5B55"/>
    <w:rsid w:val="002E5BDD"/>
    <w:rsid w:val="002E5C56"/>
    <w:rsid w:val="002E5CBA"/>
    <w:rsid w:val="002E679D"/>
    <w:rsid w:val="002E6AA0"/>
    <w:rsid w:val="002E7321"/>
    <w:rsid w:val="002E7894"/>
    <w:rsid w:val="002E7C45"/>
    <w:rsid w:val="002F0045"/>
    <w:rsid w:val="002F00F0"/>
    <w:rsid w:val="002F025B"/>
    <w:rsid w:val="002F0675"/>
    <w:rsid w:val="002F0684"/>
    <w:rsid w:val="002F0A2A"/>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3FC"/>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CA6"/>
    <w:rsid w:val="00307F28"/>
    <w:rsid w:val="0031006B"/>
    <w:rsid w:val="0031018C"/>
    <w:rsid w:val="003101DC"/>
    <w:rsid w:val="0031035A"/>
    <w:rsid w:val="003105FA"/>
    <w:rsid w:val="00310CC6"/>
    <w:rsid w:val="00311421"/>
    <w:rsid w:val="00311642"/>
    <w:rsid w:val="00311761"/>
    <w:rsid w:val="00311941"/>
    <w:rsid w:val="00312064"/>
    <w:rsid w:val="003121B8"/>
    <w:rsid w:val="00312D94"/>
    <w:rsid w:val="003131CB"/>
    <w:rsid w:val="003137A0"/>
    <w:rsid w:val="003137ED"/>
    <w:rsid w:val="00313B5E"/>
    <w:rsid w:val="00313C4F"/>
    <w:rsid w:val="00313FBA"/>
    <w:rsid w:val="00314176"/>
    <w:rsid w:val="003141C2"/>
    <w:rsid w:val="00314629"/>
    <w:rsid w:val="003150EA"/>
    <w:rsid w:val="0031599D"/>
    <w:rsid w:val="00315F72"/>
    <w:rsid w:val="00316035"/>
    <w:rsid w:val="00316072"/>
    <w:rsid w:val="003160FB"/>
    <w:rsid w:val="00316265"/>
    <w:rsid w:val="00316C58"/>
    <w:rsid w:val="00316E46"/>
    <w:rsid w:val="00317050"/>
    <w:rsid w:val="00317712"/>
    <w:rsid w:val="00317884"/>
    <w:rsid w:val="003200D5"/>
    <w:rsid w:val="00320312"/>
    <w:rsid w:val="00320B1B"/>
    <w:rsid w:val="00320F24"/>
    <w:rsid w:val="0032172E"/>
    <w:rsid w:val="00321822"/>
    <w:rsid w:val="00321974"/>
    <w:rsid w:val="00321B02"/>
    <w:rsid w:val="00321B2E"/>
    <w:rsid w:val="00322021"/>
    <w:rsid w:val="003222E4"/>
    <w:rsid w:val="00322722"/>
    <w:rsid w:val="00322929"/>
    <w:rsid w:val="00322A6A"/>
    <w:rsid w:val="00322BC3"/>
    <w:rsid w:val="00322DB8"/>
    <w:rsid w:val="00322E3B"/>
    <w:rsid w:val="0032350D"/>
    <w:rsid w:val="00323D12"/>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35DC"/>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963"/>
    <w:rsid w:val="00343C24"/>
    <w:rsid w:val="00343DA5"/>
    <w:rsid w:val="00344725"/>
    <w:rsid w:val="0034511B"/>
    <w:rsid w:val="00345127"/>
    <w:rsid w:val="00345243"/>
    <w:rsid w:val="003454A2"/>
    <w:rsid w:val="003460F4"/>
    <w:rsid w:val="003460F6"/>
    <w:rsid w:val="0034666E"/>
    <w:rsid w:val="00346A3C"/>
    <w:rsid w:val="003471DC"/>
    <w:rsid w:val="0034745C"/>
    <w:rsid w:val="00347599"/>
    <w:rsid w:val="00347F2E"/>
    <w:rsid w:val="00350186"/>
    <w:rsid w:val="0035025F"/>
    <w:rsid w:val="003503F4"/>
    <w:rsid w:val="0035041A"/>
    <w:rsid w:val="003505AD"/>
    <w:rsid w:val="00350631"/>
    <w:rsid w:val="0035140A"/>
    <w:rsid w:val="0035180B"/>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5F"/>
    <w:rsid w:val="003532D2"/>
    <w:rsid w:val="00353318"/>
    <w:rsid w:val="00353591"/>
    <w:rsid w:val="003536C6"/>
    <w:rsid w:val="003539B2"/>
    <w:rsid w:val="00353CC0"/>
    <w:rsid w:val="00353EE1"/>
    <w:rsid w:val="00353F9F"/>
    <w:rsid w:val="0035414B"/>
    <w:rsid w:val="0035414E"/>
    <w:rsid w:val="0035496D"/>
    <w:rsid w:val="00354DBF"/>
    <w:rsid w:val="003552C6"/>
    <w:rsid w:val="00355A83"/>
    <w:rsid w:val="00355DD6"/>
    <w:rsid w:val="003560B8"/>
    <w:rsid w:val="003562D7"/>
    <w:rsid w:val="00356353"/>
    <w:rsid w:val="003567C9"/>
    <w:rsid w:val="003568A5"/>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514"/>
    <w:rsid w:val="0036262C"/>
    <w:rsid w:val="00362A2B"/>
    <w:rsid w:val="00362C5A"/>
    <w:rsid w:val="003630B8"/>
    <w:rsid w:val="00363984"/>
    <w:rsid w:val="00363EE9"/>
    <w:rsid w:val="00364A63"/>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2029"/>
    <w:rsid w:val="003723D0"/>
    <w:rsid w:val="003724A1"/>
    <w:rsid w:val="00372A6B"/>
    <w:rsid w:val="00372B3E"/>
    <w:rsid w:val="00372FD7"/>
    <w:rsid w:val="003730EA"/>
    <w:rsid w:val="00373E10"/>
    <w:rsid w:val="00373F2C"/>
    <w:rsid w:val="0037406C"/>
    <w:rsid w:val="003741D2"/>
    <w:rsid w:val="003744CB"/>
    <w:rsid w:val="00374804"/>
    <w:rsid w:val="00374C90"/>
    <w:rsid w:val="00374F06"/>
    <w:rsid w:val="00374F99"/>
    <w:rsid w:val="00375FFC"/>
    <w:rsid w:val="003764FA"/>
    <w:rsid w:val="0037664D"/>
    <w:rsid w:val="00376778"/>
    <w:rsid w:val="003769B8"/>
    <w:rsid w:val="00376CD6"/>
    <w:rsid w:val="00376E52"/>
    <w:rsid w:val="0037709A"/>
    <w:rsid w:val="00377146"/>
    <w:rsid w:val="00377397"/>
    <w:rsid w:val="003774FD"/>
    <w:rsid w:val="003775BD"/>
    <w:rsid w:val="003778EB"/>
    <w:rsid w:val="0038072E"/>
    <w:rsid w:val="0038084F"/>
    <w:rsid w:val="00380892"/>
    <w:rsid w:val="00381079"/>
    <w:rsid w:val="00381685"/>
    <w:rsid w:val="00381918"/>
    <w:rsid w:val="003821E7"/>
    <w:rsid w:val="0038227A"/>
    <w:rsid w:val="00382425"/>
    <w:rsid w:val="0038245B"/>
    <w:rsid w:val="003827B3"/>
    <w:rsid w:val="00382903"/>
    <w:rsid w:val="003830C3"/>
    <w:rsid w:val="00383483"/>
    <w:rsid w:val="00383D4B"/>
    <w:rsid w:val="00383DDB"/>
    <w:rsid w:val="003842A8"/>
    <w:rsid w:val="0038437A"/>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EA"/>
    <w:rsid w:val="0038702D"/>
    <w:rsid w:val="003870BC"/>
    <w:rsid w:val="0038732E"/>
    <w:rsid w:val="00387675"/>
    <w:rsid w:val="00387771"/>
    <w:rsid w:val="00387B2B"/>
    <w:rsid w:val="0039043E"/>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83E"/>
    <w:rsid w:val="00393B78"/>
    <w:rsid w:val="00393E7D"/>
    <w:rsid w:val="00393FA8"/>
    <w:rsid w:val="003941AC"/>
    <w:rsid w:val="00394775"/>
    <w:rsid w:val="00394927"/>
    <w:rsid w:val="00394928"/>
    <w:rsid w:val="00394B44"/>
    <w:rsid w:val="00394B72"/>
    <w:rsid w:val="0039502C"/>
    <w:rsid w:val="00395140"/>
    <w:rsid w:val="003956CC"/>
    <w:rsid w:val="003956DF"/>
    <w:rsid w:val="003956FE"/>
    <w:rsid w:val="0039598F"/>
    <w:rsid w:val="003960D5"/>
    <w:rsid w:val="0039610F"/>
    <w:rsid w:val="00396639"/>
    <w:rsid w:val="0039665F"/>
    <w:rsid w:val="003967AB"/>
    <w:rsid w:val="00396E4A"/>
    <w:rsid w:val="00397464"/>
    <w:rsid w:val="00397514"/>
    <w:rsid w:val="0039780E"/>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1FF3"/>
    <w:rsid w:val="003A2019"/>
    <w:rsid w:val="003A2811"/>
    <w:rsid w:val="003A2D39"/>
    <w:rsid w:val="003A2E54"/>
    <w:rsid w:val="003A2EBA"/>
    <w:rsid w:val="003A2FE7"/>
    <w:rsid w:val="003A392F"/>
    <w:rsid w:val="003A3A27"/>
    <w:rsid w:val="003A42BB"/>
    <w:rsid w:val="003A44E3"/>
    <w:rsid w:val="003A45FB"/>
    <w:rsid w:val="003A48FC"/>
    <w:rsid w:val="003A4E82"/>
    <w:rsid w:val="003A5167"/>
    <w:rsid w:val="003A590E"/>
    <w:rsid w:val="003A5C66"/>
    <w:rsid w:val="003A6330"/>
    <w:rsid w:val="003A67EA"/>
    <w:rsid w:val="003A6A9D"/>
    <w:rsid w:val="003A6BC9"/>
    <w:rsid w:val="003A6F54"/>
    <w:rsid w:val="003A76A9"/>
    <w:rsid w:val="003A7747"/>
    <w:rsid w:val="003B00CC"/>
    <w:rsid w:val="003B0299"/>
    <w:rsid w:val="003B03CC"/>
    <w:rsid w:val="003B0434"/>
    <w:rsid w:val="003B0901"/>
    <w:rsid w:val="003B0B4D"/>
    <w:rsid w:val="003B0F9B"/>
    <w:rsid w:val="003B1046"/>
    <w:rsid w:val="003B1087"/>
    <w:rsid w:val="003B1422"/>
    <w:rsid w:val="003B14B8"/>
    <w:rsid w:val="003B1575"/>
    <w:rsid w:val="003B188F"/>
    <w:rsid w:val="003B1CC2"/>
    <w:rsid w:val="003B21B1"/>
    <w:rsid w:val="003B2B79"/>
    <w:rsid w:val="003B31F9"/>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836"/>
    <w:rsid w:val="003C1A16"/>
    <w:rsid w:val="003C1EC9"/>
    <w:rsid w:val="003C2B4A"/>
    <w:rsid w:val="003C2C9D"/>
    <w:rsid w:val="003C3204"/>
    <w:rsid w:val="003C368F"/>
    <w:rsid w:val="003C3B73"/>
    <w:rsid w:val="003C3D8B"/>
    <w:rsid w:val="003C3EB2"/>
    <w:rsid w:val="003C4250"/>
    <w:rsid w:val="003C450C"/>
    <w:rsid w:val="003C4952"/>
    <w:rsid w:val="003C4D16"/>
    <w:rsid w:val="003C4D8C"/>
    <w:rsid w:val="003C4F25"/>
    <w:rsid w:val="003C5DDF"/>
    <w:rsid w:val="003C6580"/>
    <w:rsid w:val="003C72F6"/>
    <w:rsid w:val="003C7459"/>
    <w:rsid w:val="003C78C0"/>
    <w:rsid w:val="003C79A4"/>
    <w:rsid w:val="003C7D16"/>
    <w:rsid w:val="003D075A"/>
    <w:rsid w:val="003D09DA"/>
    <w:rsid w:val="003D0A97"/>
    <w:rsid w:val="003D0D75"/>
    <w:rsid w:val="003D0E68"/>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89F"/>
    <w:rsid w:val="003E0ADB"/>
    <w:rsid w:val="003E0CE4"/>
    <w:rsid w:val="003E125F"/>
    <w:rsid w:val="003E1304"/>
    <w:rsid w:val="003E1748"/>
    <w:rsid w:val="003E18B7"/>
    <w:rsid w:val="003E1CF4"/>
    <w:rsid w:val="003E240A"/>
    <w:rsid w:val="003E2719"/>
    <w:rsid w:val="003E2896"/>
    <w:rsid w:val="003E2B8B"/>
    <w:rsid w:val="003E2BF4"/>
    <w:rsid w:val="003E2E52"/>
    <w:rsid w:val="003E31BF"/>
    <w:rsid w:val="003E3245"/>
    <w:rsid w:val="003E34E1"/>
    <w:rsid w:val="003E3524"/>
    <w:rsid w:val="003E3C5B"/>
    <w:rsid w:val="003E3D11"/>
    <w:rsid w:val="003E40B3"/>
    <w:rsid w:val="003E40C9"/>
    <w:rsid w:val="003E4CDB"/>
    <w:rsid w:val="003E52EB"/>
    <w:rsid w:val="003E5CA0"/>
    <w:rsid w:val="003E6279"/>
    <w:rsid w:val="003E6592"/>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30AD"/>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0906"/>
    <w:rsid w:val="004010CF"/>
    <w:rsid w:val="004012FA"/>
    <w:rsid w:val="0040145F"/>
    <w:rsid w:val="00401612"/>
    <w:rsid w:val="004017C6"/>
    <w:rsid w:val="004024AB"/>
    <w:rsid w:val="00402F2C"/>
    <w:rsid w:val="0040303D"/>
    <w:rsid w:val="0040379F"/>
    <w:rsid w:val="00403805"/>
    <w:rsid w:val="00403824"/>
    <w:rsid w:val="00403F25"/>
    <w:rsid w:val="0040495B"/>
    <w:rsid w:val="00404AE9"/>
    <w:rsid w:val="0040513F"/>
    <w:rsid w:val="00405194"/>
    <w:rsid w:val="00405476"/>
    <w:rsid w:val="00405898"/>
    <w:rsid w:val="00405BAA"/>
    <w:rsid w:val="00405D95"/>
    <w:rsid w:val="00405F90"/>
    <w:rsid w:val="00406108"/>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2045"/>
    <w:rsid w:val="0041209A"/>
    <w:rsid w:val="00412697"/>
    <w:rsid w:val="00412E2A"/>
    <w:rsid w:val="00412F8D"/>
    <w:rsid w:val="00413369"/>
    <w:rsid w:val="00413E02"/>
    <w:rsid w:val="00414129"/>
    <w:rsid w:val="004145AE"/>
    <w:rsid w:val="0041560E"/>
    <w:rsid w:val="0041577E"/>
    <w:rsid w:val="004157F6"/>
    <w:rsid w:val="004158F3"/>
    <w:rsid w:val="004159D3"/>
    <w:rsid w:val="00415A14"/>
    <w:rsid w:val="0041616C"/>
    <w:rsid w:val="0041620F"/>
    <w:rsid w:val="00416845"/>
    <w:rsid w:val="00416A66"/>
    <w:rsid w:val="00416DCB"/>
    <w:rsid w:val="00417678"/>
    <w:rsid w:val="0041769B"/>
    <w:rsid w:val="0041789F"/>
    <w:rsid w:val="004179D3"/>
    <w:rsid w:val="00417A7A"/>
    <w:rsid w:val="004200C1"/>
    <w:rsid w:val="00420126"/>
    <w:rsid w:val="004203CF"/>
    <w:rsid w:val="004205B8"/>
    <w:rsid w:val="00420755"/>
    <w:rsid w:val="00420CB7"/>
    <w:rsid w:val="00420F26"/>
    <w:rsid w:val="00421078"/>
    <w:rsid w:val="0042110F"/>
    <w:rsid w:val="004213E8"/>
    <w:rsid w:val="0042149F"/>
    <w:rsid w:val="0042156E"/>
    <w:rsid w:val="00421640"/>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A6A"/>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83"/>
    <w:rsid w:val="00434754"/>
    <w:rsid w:val="0043480E"/>
    <w:rsid w:val="004348B9"/>
    <w:rsid w:val="00434A45"/>
    <w:rsid w:val="00434D46"/>
    <w:rsid w:val="00435248"/>
    <w:rsid w:val="004353C1"/>
    <w:rsid w:val="0043542F"/>
    <w:rsid w:val="004355EB"/>
    <w:rsid w:val="00435602"/>
    <w:rsid w:val="004356FA"/>
    <w:rsid w:val="00435CCF"/>
    <w:rsid w:val="00436A3B"/>
    <w:rsid w:val="00436CA7"/>
    <w:rsid w:val="00436F2C"/>
    <w:rsid w:val="00437027"/>
    <w:rsid w:val="004370A3"/>
    <w:rsid w:val="004370C7"/>
    <w:rsid w:val="004371AB"/>
    <w:rsid w:val="00437B3D"/>
    <w:rsid w:val="004402A7"/>
    <w:rsid w:val="0044035D"/>
    <w:rsid w:val="004403B3"/>
    <w:rsid w:val="00440EA5"/>
    <w:rsid w:val="0044131C"/>
    <w:rsid w:val="0044142F"/>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7CD"/>
    <w:rsid w:val="004518D5"/>
    <w:rsid w:val="004519BF"/>
    <w:rsid w:val="00451A88"/>
    <w:rsid w:val="00451B06"/>
    <w:rsid w:val="00451BEB"/>
    <w:rsid w:val="004525E6"/>
    <w:rsid w:val="004527C0"/>
    <w:rsid w:val="00453871"/>
    <w:rsid w:val="00453DEF"/>
    <w:rsid w:val="00453E84"/>
    <w:rsid w:val="00453F94"/>
    <w:rsid w:val="004543E4"/>
    <w:rsid w:val="004546B1"/>
    <w:rsid w:val="004548E5"/>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DB0"/>
    <w:rsid w:val="00464EE0"/>
    <w:rsid w:val="00465461"/>
    <w:rsid w:val="00465467"/>
    <w:rsid w:val="00465573"/>
    <w:rsid w:val="0046567F"/>
    <w:rsid w:val="00465709"/>
    <w:rsid w:val="004658C3"/>
    <w:rsid w:val="00465EB3"/>
    <w:rsid w:val="0046645E"/>
    <w:rsid w:val="00466508"/>
    <w:rsid w:val="004666E0"/>
    <w:rsid w:val="0046698E"/>
    <w:rsid w:val="004671AF"/>
    <w:rsid w:val="00467838"/>
    <w:rsid w:val="00467E77"/>
    <w:rsid w:val="0047041E"/>
    <w:rsid w:val="00470750"/>
    <w:rsid w:val="00470893"/>
    <w:rsid w:val="00470E35"/>
    <w:rsid w:val="0047166D"/>
    <w:rsid w:val="00471856"/>
    <w:rsid w:val="004719A1"/>
    <w:rsid w:val="00471CEC"/>
    <w:rsid w:val="00471DB0"/>
    <w:rsid w:val="00471F3B"/>
    <w:rsid w:val="00471FAB"/>
    <w:rsid w:val="00472ACB"/>
    <w:rsid w:val="004734A1"/>
    <w:rsid w:val="004734C7"/>
    <w:rsid w:val="00473975"/>
    <w:rsid w:val="00473F4A"/>
    <w:rsid w:val="00473F5F"/>
    <w:rsid w:val="00473F72"/>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21B4"/>
    <w:rsid w:val="00482389"/>
    <w:rsid w:val="004824F5"/>
    <w:rsid w:val="00482642"/>
    <w:rsid w:val="00482943"/>
    <w:rsid w:val="00482ADC"/>
    <w:rsid w:val="00482B0E"/>
    <w:rsid w:val="00482B1F"/>
    <w:rsid w:val="00482BAD"/>
    <w:rsid w:val="00483D11"/>
    <w:rsid w:val="00483D20"/>
    <w:rsid w:val="00483FA7"/>
    <w:rsid w:val="0048406D"/>
    <w:rsid w:val="0048410E"/>
    <w:rsid w:val="004847D3"/>
    <w:rsid w:val="00484C46"/>
    <w:rsid w:val="00485969"/>
    <w:rsid w:val="0048597D"/>
    <w:rsid w:val="0048598C"/>
    <w:rsid w:val="00485C9E"/>
    <w:rsid w:val="00485E8A"/>
    <w:rsid w:val="00485FEB"/>
    <w:rsid w:val="0048620B"/>
    <w:rsid w:val="004862DE"/>
    <w:rsid w:val="0048647C"/>
    <w:rsid w:val="0048658B"/>
    <w:rsid w:val="00486CF2"/>
    <w:rsid w:val="00486EC5"/>
    <w:rsid w:val="00487442"/>
    <w:rsid w:val="00487924"/>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3E2"/>
    <w:rsid w:val="0049653E"/>
    <w:rsid w:val="00496BEF"/>
    <w:rsid w:val="004970A1"/>
    <w:rsid w:val="00497251"/>
    <w:rsid w:val="00497838"/>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4C9"/>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4247"/>
    <w:rsid w:val="004A4635"/>
    <w:rsid w:val="004A4900"/>
    <w:rsid w:val="004A4BE8"/>
    <w:rsid w:val="004A4D38"/>
    <w:rsid w:val="004A4E7E"/>
    <w:rsid w:val="004A4E95"/>
    <w:rsid w:val="004A4FEE"/>
    <w:rsid w:val="004A5270"/>
    <w:rsid w:val="004A55D4"/>
    <w:rsid w:val="004A5667"/>
    <w:rsid w:val="004A57FC"/>
    <w:rsid w:val="004A5F92"/>
    <w:rsid w:val="004A66D4"/>
    <w:rsid w:val="004A6953"/>
    <w:rsid w:val="004A705C"/>
    <w:rsid w:val="004A717D"/>
    <w:rsid w:val="004A7276"/>
    <w:rsid w:val="004A7EE7"/>
    <w:rsid w:val="004A7FB0"/>
    <w:rsid w:val="004B03E2"/>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30E"/>
    <w:rsid w:val="004C7739"/>
    <w:rsid w:val="004C7A83"/>
    <w:rsid w:val="004C7BDF"/>
    <w:rsid w:val="004C7EFE"/>
    <w:rsid w:val="004D0200"/>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8C0"/>
    <w:rsid w:val="004D710C"/>
    <w:rsid w:val="004D7448"/>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7BD"/>
    <w:rsid w:val="004E48A1"/>
    <w:rsid w:val="004E4B2F"/>
    <w:rsid w:val="004E5181"/>
    <w:rsid w:val="004E53AE"/>
    <w:rsid w:val="004E5449"/>
    <w:rsid w:val="004E5C25"/>
    <w:rsid w:val="004E5C61"/>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527"/>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3F8F"/>
    <w:rsid w:val="004F40F1"/>
    <w:rsid w:val="004F4477"/>
    <w:rsid w:val="004F4760"/>
    <w:rsid w:val="004F497D"/>
    <w:rsid w:val="004F4E53"/>
    <w:rsid w:val="004F4F06"/>
    <w:rsid w:val="004F58AB"/>
    <w:rsid w:val="004F627A"/>
    <w:rsid w:val="004F6438"/>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C88"/>
    <w:rsid w:val="00503FAD"/>
    <w:rsid w:val="00504639"/>
    <w:rsid w:val="0050472A"/>
    <w:rsid w:val="00504C3F"/>
    <w:rsid w:val="00505078"/>
    <w:rsid w:val="005050F8"/>
    <w:rsid w:val="00505A2A"/>
    <w:rsid w:val="00505ABD"/>
    <w:rsid w:val="00505E39"/>
    <w:rsid w:val="0050614B"/>
    <w:rsid w:val="00506571"/>
    <w:rsid w:val="00506A8D"/>
    <w:rsid w:val="00506C2E"/>
    <w:rsid w:val="00506E46"/>
    <w:rsid w:val="00506F24"/>
    <w:rsid w:val="005071C3"/>
    <w:rsid w:val="005074C9"/>
    <w:rsid w:val="00507718"/>
    <w:rsid w:val="00507754"/>
    <w:rsid w:val="00507CAF"/>
    <w:rsid w:val="00507DB4"/>
    <w:rsid w:val="00510374"/>
    <w:rsid w:val="00510444"/>
    <w:rsid w:val="00510B25"/>
    <w:rsid w:val="00510B64"/>
    <w:rsid w:val="00510FF3"/>
    <w:rsid w:val="0051179B"/>
    <w:rsid w:val="00511E67"/>
    <w:rsid w:val="005126B2"/>
    <w:rsid w:val="00512747"/>
    <w:rsid w:val="00512E1C"/>
    <w:rsid w:val="00512E6A"/>
    <w:rsid w:val="0051349D"/>
    <w:rsid w:val="005136B4"/>
    <w:rsid w:val="00513F8F"/>
    <w:rsid w:val="00514455"/>
    <w:rsid w:val="005147E7"/>
    <w:rsid w:val="00514882"/>
    <w:rsid w:val="005149A2"/>
    <w:rsid w:val="00514CEE"/>
    <w:rsid w:val="005150A0"/>
    <w:rsid w:val="005150E4"/>
    <w:rsid w:val="005156B4"/>
    <w:rsid w:val="00515907"/>
    <w:rsid w:val="00515E2B"/>
    <w:rsid w:val="00516B96"/>
    <w:rsid w:val="005173A4"/>
    <w:rsid w:val="0051770E"/>
    <w:rsid w:val="00517B28"/>
    <w:rsid w:val="0052001B"/>
    <w:rsid w:val="005205C8"/>
    <w:rsid w:val="00521D65"/>
    <w:rsid w:val="005221A4"/>
    <w:rsid w:val="00522D7B"/>
    <w:rsid w:val="00522F19"/>
    <w:rsid w:val="00523366"/>
    <w:rsid w:val="00523E18"/>
    <w:rsid w:val="00523F32"/>
    <w:rsid w:val="005240E5"/>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AEE"/>
    <w:rsid w:val="00536D3C"/>
    <w:rsid w:val="0053713E"/>
    <w:rsid w:val="00537BE9"/>
    <w:rsid w:val="00537E22"/>
    <w:rsid w:val="00540147"/>
    <w:rsid w:val="00540EB6"/>
    <w:rsid w:val="00540FF7"/>
    <w:rsid w:val="0054101A"/>
    <w:rsid w:val="00541679"/>
    <w:rsid w:val="00541735"/>
    <w:rsid w:val="005417A0"/>
    <w:rsid w:val="00541B6E"/>
    <w:rsid w:val="00541E2B"/>
    <w:rsid w:val="005424F4"/>
    <w:rsid w:val="005436D7"/>
    <w:rsid w:val="00543703"/>
    <w:rsid w:val="00543A66"/>
    <w:rsid w:val="00543A83"/>
    <w:rsid w:val="00544220"/>
    <w:rsid w:val="005444D2"/>
    <w:rsid w:val="005448FC"/>
    <w:rsid w:val="00544C33"/>
    <w:rsid w:val="00544D61"/>
    <w:rsid w:val="005452CD"/>
    <w:rsid w:val="0054556F"/>
    <w:rsid w:val="0054576D"/>
    <w:rsid w:val="005457A9"/>
    <w:rsid w:val="005458F0"/>
    <w:rsid w:val="00545C3D"/>
    <w:rsid w:val="00545E32"/>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7CE"/>
    <w:rsid w:val="00560AC9"/>
    <w:rsid w:val="00560D1F"/>
    <w:rsid w:val="00560DDA"/>
    <w:rsid w:val="00561250"/>
    <w:rsid w:val="0056134D"/>
    <w:rsid w:val="0056166E"/>
    <w:rsid w:val="005617E8"/>
    <w:rsid w:val="00561A95"/>
    <w:rsid w:val="00561B22"/>
    <w:rsid w:val="00561BF6"/>
    <w:rsid w:val="00561E4A"/>
    <w:rsid w:val="0056249A"/>
    <w:rsid w:val="00562524"/>
    <w:rsid w:val="00562908"/>
    <w:rsid w:val="00562CDC"/>
    <w:rsid w:val="00563855"/>
    <w:rsid w:val="00563FD2"/>
    <w:rsid w:val="0056434D"/>
    <w:rsid w:val="0056477B"/>
    <w:rsid w:val="00564E2D"/>
    <w:rsid w:val="00564F02"/>
    <w:rsid w:val="00564FA8"/>
    <w:rsid w:val="00565679"/>
    <w:rsid w:val="005656F2"/>
    <w:rsid w:val="00565C99"/>
    <w:rsid w:val="00565D3B"/>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0A1"/>
    <w:rsid w:val="00571358"/>
    <w:rsid w:val="00571382"/>
    <w:rsid w:val="00571628"/>
    <w:rsid w:val="00571DB3"/>
    <w:rsid w:val="00572583"/>
    <w:rsid w:val="00572643"/>
    <w:rsid w:val="005726C5"/>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5D2"/>
    <w:rsid w:val="005818D4"/>
    <w:rsid w:val="005819D7"/>
    <w:rsid w:val="00581F00"/>
    <w:rsid w:val="00581F40"/>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6D6"/>
    <w:rsid w:val="00585821"/>
    <w:rsid w:val="00585932"/>
    <w:rsid w:val="00585C3A"/>
    <w:rsid w:val="00585D33"/>
    <w:rsid w:val="0058628A"/>
    <w:rsid w:val="005863AF"/>
    <w:rsid w:val="00586897"/>
    <w:rsid w:val="005869C6"/>
    <w:rsid w:val="00587117"/>
    <w:rsid w:val="0058759B"/>
    <w:rsid w:val="0058764D"/>
    <w:rsid w:val="005876F1"/>
    <w:rsid w:val="00590203"/>
    <w:rsid w:val="00590749"/>
    <w:rsid w:val="00590BF6"/>
    <w:rsid w:val="00591048"/>
    <w:rsid w:val="00591777"/>
    <w:rsid w:val="00591809"/>
    <w:rsid w:val="005918C5"/>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70DB"/>
    <w:rsid w:val="0059715B"/>
    <w:rsid w:val="005973C7"/>
    <w:rsid w:val="00597605"/>
    <w:rsid w:val="00597788"/>
    <w:rsid w:val="00597A36"/>
    <w:rsid w:val="00597E86"/>
    <w:rsid w:val="00597E93"/>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B41"/>
    <w:rsid w:val="005A6FA1"/>
    <w:rsid w:val="005A7A52"/>
    <w:rsid w:val="005A7F72"/>
    <w:rsid w:val="005B00FD"/>
    <w:rsid w:val="005B0209"/>
    <w:rsid w:val="005B0814"/>
    <w:rsid w:val="005B0AD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2F53"/>
    <w:rsid w:val="005C376D"/>
    <w:rsid w:val="005C3A65"/>
    <w:rsid w:val="005C3CDF"/>
    <w:rsid w:val="005C41D6"/>
    <w:rsid w:val="005C44FE"/>
    <w:rsid w:val="005C482A"/>
    <w:rsid w:val="005C4B4D"/>
    <w:rsid w:val="005C4DE3"/>
    <w:rsid w:val="005C50E9"/>
    <w:rsid w:val="005C5320"/>
    <w:rsid w:val="005C5379"/>
    <w:rsid w:val="005C53FC"/>
    <w:rsid w:val="005C5656"/>
    <w:rsid w:val="005C5849"/>
    <w:rsid w:val="005C5985"/>
    <w:rsid w:val="005C61E1"/>
    <w:rsid w:val="005C7340"/>
    <w:rsid w:val="005C7A54"/>
    <w:rsid w:val="005C7CAD"/>
    <w:rsid w:val="005C7EF8"/>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2ED"/>
    <w:rsid w:val="005D35F5"/>
    <w:rsid w:val="005D37FF"/>
    <w:rsid w:val="005D38F9"/>
    <w:rsid w:val="005D4764"/>
    <w:rsid w:val="005D4856"/>
    <w:rsid w:val="005D4DA7"/>
    <w:rsid w:val="005D5499"/>
    <w:rsid w:val="005D576B"/>
    <w:rsid w:val="005D594D"/>
    <w:rsid w:val="005D5E46"/>
    <w:rsid w:val="005D609E"/>
    <w:rsid w:val="005D64A5"/>
    <w:rsid w:val="005D6929"/>
    <w:rsid w:val="005D6B30"/>
    <w:rsid w:val="005D6E1C"/>
    <w:rsid w:val="005D7741"/>
    <w:rsid w:val="005D7E04"/>
    <w:rsid w:val="005D7FED"/>
    <w:rsid w:val="005E0082"/>
    <w:rsid w:val="005E0C79"/>
    <w:rsid w:val="005E1385"/>
    <w:rsid w:val="005E1393"/>
    <w:rsid w:val="005E1A58"/>
    <w:rsid w:val="005E1C06"/>
    <w:rsid w:val="005E2BC2"/>
    <w:rsid w:val="005E2E2C"/>
    <w:rsid w:val="005E35FD"/>
    <w:rsid w:val="005E383F"/>
    <w:rsid w:val="005E3C1D"/>
    <w:rsid w:val="005E43BA"/>
    <w:rsid w:val="005E48F7"/>
    <w:rsid w:val="005E4AA6"/>
    <w:rsid w:val="005E4F68"/>
    <w:rsid w:val="005E4F80"/>
    <w:rsid w:val="005E4FBD"/>
    <w:rsid w:val="005E5009"/>
    <w:rsid w:val="005E5062"/>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50"/>
    <w:rsid w:val="005F509E"/>
    <w:rsid w:val="005F529D"/>
    <w:rsid w:val="005F5526"/>
    <w:rsid w:val="005F5ADB"/>
    <w:rsid w:val="005F5BF5"/>
    <w:rsid w:val="005F632F"/>
    <w:rsid w:val="005F660A"/>
    <w:rsid w:val="005F6680"/>
    <w:rsid w:val="005F668B"/>
    <w:rsid w:val="005F6697"/>
    <w:rsid w:val="005F6F9C"/>
    <w:rsid w:val="005F6FFC"/>
    <w:rsid w:val="005F7A13"/>
    <w:rsid w:val="005F7F11"/>
    <w:rsid w:val="006004DE"/>
    <w:rsid w:val="00600C9C"/>
    <w:rsid w:val="00600E1A"/>
    <w:rsid w:val="00601072"/>
    <w:rsid w:val="0060144E"/>
    <w:rsid w:val="00601754"/>
    <w:rsid w:val="00601C4E"/>
    <w:rsid w:val="00601D4D"/>
    <w:rsid w:val="00601FCD"/>
    <w:rsid w:val="00602354"/>
    <w:rsid w:val="0060243B"/>
    <w:rsid w:val="0060254B"/>
    <w:rsid w:val="0060268D"/>
    <w:rsid w:val="00602C8E"/>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4A6"/>
    <w:rsid w:val="006074B1"/>
    <w:rsid w:val="00607858"/>
    <w:rsid w:val="006079D8"/>
    <w:rsid w:val="00607ADE"/>
    <w:rsid w:val="00607CFB"/>
    <w:rsid w:val="00607E68"/>
    <w:rsid w:val="00607EA3"/>
    <w:rsid w:val="0061005A"/>
    <w:rsid w:val="006102C6"/>
    <w:rsid w:val="006103F0"/>
    <w:rsid w:val="006113A9"/>
    <w:rsid w:val="00611A0D"/>
    <w:rsid w:val="00611A24"/>
    <w:rsid w:val="00611E96"/>
    <w:rsid w:val="00612A01"/>
    <w:rsid w:val="00612C73"/>
    <w:rsid w:val="00613036"/>
    <w:rsid w:val="0061329B"/>
    <w:rsid w:val="00613422"/>
    <w:rsid w:val="006134CE"/>
    <w:rsid w:val="006138D8"/>
    <w:rsid w:val="00614064"/>
    <w:rsid w:val="006141D8"/>
    <w:rsid w:val="00614CB4"/>
    <w:rsid w:val="00614D1E"/>
    <w:rsid w:val="0061524B"/>
    <w:rsid w:val="0061565F"/>
    <w:rsid w:val="00615850"/>
    <w:rsid w:val="00615BDB"/>
    <w:rsid w:val="006163CC"/>
    <w:rsid w:val="00616885"/>
    <w:rsid w:val="00616B98"/>
    <w:rsid w:val="00616E6A"/>
    <w:rsid w:val="0061717F"/>
    <w:rsid w:val="006171DC"/>
    <w:rsid w:val="0061723D"/>
    <w:rsid w:val="006175CF"/>
    <w:rsid w:val="00617AAC"/>
    <w:rsid w:val="006201A2"/>
    <w:rsid w:val="00620254"/>
    <w:rsid w:val="00620686"/>
    <w:rsid w:val="006209E8"/>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780"/>
    <w:rsid w:val="006338F7"/>
    <w:rsid w:val="00633951"/>
    <w:rsid w:val="00633965"/>
    <w:rsid w:val="00633B5E"/>
    <w:rsid w:val="00633C0A"/>
    <w:rsid w:val="00633D62"/>
    <w:rsid w:val="00633E1D"/>
    <w:rsid w:val="0063405E"/>
    <w:rsid w:val="006341AD"/>
    <w:rsid w:val="006347F5"/>
    <w:rsid w:val="00635372"/>
    <w:rsid w:val="00635EDC"/>
    <w:rsid w:val="00635F56"/>
    <w:rsid w:val="00636094"/>
    <w:rsid w:val="0063681F"/>
    <w:rsid w:val="00636A76"/>
    <w:rsid w:val="00636D5C"/>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795E"/>
    <w:rsid w:val="00647CB3"/>
    <w:rsid w:val="00647D60"/>
    <w:rsid w:val="00650150"/>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460"/>
    <w:rsid w:val="00674474"/>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BF9"/>
    <w:rsid w:val="00683D7F"/>
    <w:rsid w:val="00683D8A"/>
    <w:rsid w:val="00684035"/>
    <w:rsid w:val="006841F4"/>
    <w:rsid w:val="00684258"/>
    <w:rsid w:val="00684353"/>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F94"/>
    <w:rsid w:val="006A4113"/>
    <w:rsid w:val="006A457C"/>
    <w:rsid w:val="006A4584"/>
    <w:rsid w:val="006A484F"/>
    <w:rsid w:val="006A49B5"/>
    <w:rsid w:val="006A5185"/>
    <w:rsid w:val="006A5A45"/>
    <w:rsid w:val="006A5CA3"/>
    <w:rsid w:val="006A5E26"/>
    <w:rsid w:val="006A606B"/>
    <w:rsid w:val="006A63DA"/>
    <w:rsid w:val="006A6725"/>
    <w:rsid w:val="006A67F4"/>
    <w:rsid w:val="006A6B69"/>
    <w:rsid w:val="006A6CCF"/>
    <w:rsid w:val="006A6D8A"/>
    <w:rsid w:val="006A7574"/>
    <w:rsid w:val="006A7984"/>
    <w:rsid w:val="006A7BF2"/>
    <w:rsid w:val="006A7C40"/>
    <w:rsid w:val="006A7FDD"/>
    <w:rsid w:val="006B0489"/>
    <w:rsid w:val="006B0A5E"/>
    <w:rsid w:val="006B0B1F"/>
    <w:rsid w:val="006B0C66"/>
    <w:rsid w:val="006B14F4"/>
    <w:rsid w:val="006B163E"/>
    <w:rsid w:val="006B166D"/>
    <w:rsid w:val="006B18B8"/>
    <w:rsid w:val="006B19B2"/>
    <w:rsid w:val="006B1A22"/>
    <w:rsid w:val="006B1DA2"/>
    <w:rsid w:val="006B1F5F"/>
    <w:rsid w:val="006B20F8"/>
    <w:rsid w:val="006B21E9"/>
    <w:rsid w:val="006B242D"/>
    <w:rsid w:val="006B2790"/>
    <w:rsid w:val="006B32B5"/>
    <w:rsid w:val="006B393F"/>
    <w:rsid w:val="006B3E55"/>
    <w:rsid w:val="006B4566"/>
    <w:rsid w:val="006B460F"/>
    <w:rsid w:val="006B47AD"/>
    <w:rsid w:val="006B4A50"/>
    <w:rsid w:val="006B4D4E"/>
    <w:rsid w:val="006B59E7"/>
    <w:rsid w:val="006B6A81"/>
    <w:rsid w:val="006B6AD0"/>
    <w:rsid w:val="006B6BA3"/>
    <w:rsid w:val="006B6C95"/>
    <w:rsid w:val="006B725C"/>
    <w:rsid w:val="006B7402"/>
    <w:rsid w:val="006B785D"/>
    <w:rsid w:val="006B7864"/>
    <w:rsid w:val="006B789D"/>
    <w:rsid w:val="006C02E3"/>
    <w:rsid w:val="006C03B2"/>
    <w:rsid w:val="006C09DD"/>
    <w:rsid w:val="006C0A1A"/>
    <w:rsid w:val="006C10B4"/>
    <w:rsid w:val="006C1134"/>
    <w:rsid w:val="006C1B3F"/>
    <w:rsid w:val="006C2113"/>
    <w:rsid w:val="006C2116"/>
    <w:rsid w:val="006C27DA"/>
    <w:rsid w:val="006C3009"/>
    <w:rsid w:val="006C375B"/>
    <w:rsid w:val="006C377A"/>
    <w:rsid w:val="006C3F40"/>
    <w:rsid w:val="006C4411"/>
    <w:rsid w:val="006C44D3"/>
    <w:rsid w:val="006C45C1"/>
    <w:rsid w:val="006C4B0F"/>
    <w:rsid w:val="006C4B11"/>
    <w:rsid w:val="006C4D69"/>
    <w:rsid w:val="006C5023"/>
    <w:rsid w:val="006C50C3"/>
    <w:rsid w:val="006C50D3"/>
    <w:rsid w:val="006C5215"/>
    <w:rsid w:val="006C566C"/>
    <w:rsid w:val="006C57EC"/>
    <w:rsid w:val="006C5A4C"/>
    <w:rsid w:val="006C5B3E"/>
    <w:rsid w:val="006C5C20"/>
    <w:rsid w:val="006C5FF1"/>
    <w:rsid w:val="006C6253"/>
    <w:rsid w:val="006C6287"/>
    <w:rsid w:val="006C6649"/>
    <w:rsid w:val="006C677C"/>
    <w:rsid w:val="006C6A05"/>
    <w:rsid w:val="006C6E76"/>
    <w:rsid w:val="006C6E92"/>
    <w:rsid w:val="006C6FF5"/>
    <w:rsid w:val="006C7428"/>
    <w:rsid w:val="006C75C9"/>
    <w:rsid w:val="006D0233"/>
    <w:rsid w:val="006D03CD"/>
    <w:rsid w:val="006D0A70"/>
    <w:rsid w:val="006D0AD9"/>
    <w:rsid w:val="006D0DED"/>
    <w:rsid w:val="006D19ED"/>
    <w:rsid w:val="006D1A23"/>
    <w:rsid w:val="006D1F1A"/>
    <w:rsid w:val="006D21FF"/>
    <w:rsid w:val="006D2627"/>
    <w:rsid w:val="006D2B11"/>
    <w:rsid w:val="006D2B29"/>
    <w:rsid w:val="006D31AF"/>
    <w:rsid w:val="006D31DD"/>
    <w:rsid w:val="006D343D"/>
    <w:rsid w:val="006D3D66"/>
    <w:rsid w:val="006D3E35"/>
    <w:rsid w:val="006D409F"/>
    <w:rsid w:val="006D47FF"/>
    <w:rsid w:val="006D492A"/>
    <w:rsid w:val="006D493C"/>
    <w:rsid w:val="006D4E49"/>
    <w:rsid w:val="006D4F72"/>
    <w:rsid w:val="006D5606"/>
    <w:rsid w:val="006D59BF"/>
    <w:rsid w:val="006D5AE7"/>
    <w:rsid w:val="006D5EC2"/>
    <w:rsid w:val="006D5FEF"/>
    <w:rsid w:val="006D615D"/>
    <w:rsid w:val="006D63C2"/>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752"/>
    <w:rsid w:val="006E4917"/>
    <w:rsid w:val="006E5093"/>
    <w:rsid w:val="006E512D"/>
    <w:rsid w:val="006E5151"/>
    <w:rsid w:val="006E54EC"/>
    <w:rsid w:val="006E554E"/>
    <w:rsid w:val="006E574E"/>
    <w:rsid w:val="006E5C5E"/>
    <w:rsid w:val="006E5F8F"/>
    <w:rsid w:val="006E5FE9"/>
    <w:rsid w:val="006E6043"/>
    <w:rsid w:val="006E6A05"/>
    <w:rsid w:val="006E6DA9"/>
    <w:rsid w:val="006E6F03"/>
    <w:rsid w:val="006E71A8"/>
    <w:rsid w:val="006E7320"/>
    <w:rsid w:val="006E7496"/>
    <w:rsid w:val="006E792F"/>
    <w:rsid w:val="006E7969"/>
    <w:rsid w:val="006E7E49"/>
    <w:rsid w:val="006E7F71"/>
    <w:rsid w:val="006E7F8D"/>
    <w:rsid w:val="006F0072"/>
    <w:rsid w:val="006F04E2"/>
    <w:rsid w:val="006F05C2"/>
    <w:rsid w:val="006F090B"/>
    <w:rsid w:val="006F0C12"/>
    <w:rsid w:val="006F0E20"/>
    <w:rsid w:val="006F0EB1"/>
    <w:rsid w:val="006F0EE4"/>
    <w:rsid w:val="006F1008"/>
    <w:rsid w:val="006F1295"/>
    <w:rsid w:val="006F18C5"/>
    <w:rsid w:val="006F1D86"/>
    <w:rsid w:val="006F22CB"/>
    <w:rsid w:val="006F291E"/>
    <w:rsid w:val="006F2E21"/>
    <w:rsid w:val="006F3052"/>
    <w:rsid w:val="006F314D"/>
    <w:rsid w:val="006F3738"/>
    <w:rsid w:val="006F3B01"/>
    <w:rsid w:val="006F3BDF"/>
    <w:rsid w:val="006F4072"/>
    <w:rsid w:val="006F4189"/>
    <w:rsid w:val="006F4A19"/>
    <w:rsid w:val="006F543B"/>
    <w:rsid w:val="006F557B"/>
    <w:rsid w:val="006F5B41"/>
    <w:rsid w:val="006F6689"/>
    <w:rsid w:val="006F6740"/>
    <w:rsid w:val="006F7181"/>
    <w:rsid w:val="006F73A7"/>
    <w:rsid w:val="006F746D"/>
    <w:rsid w:val="006F7A92"/>
    <w:rsid w:val="006F7C53"/>
    <w:rsid w:val="006F7E42"/>
    <w:rsid w:val="00700042"/>
    <w:rsid w:val="0070023A"/>
    <w:rsid w:val="007002E7"/>
    <w:rsid w:val="007003F7"/>
    <w:rsid w:val="0070179E"/>
    <w:rsid w:val="007017EA"/>
    <w:rsid w:val="0070181F"/>
    <w:rsid w:val="0070193E"/>
    <w:rsid w:val="00701B27"/>
    <w:rsid w:val="00702371"/>
    <w:rsid w:val="00702BFC"/>
    <w:rsid w:val="0070339E"/>
    <w:rsid w:val="007034BC"/>
    <w:rsid w:val="007035F6"/>
    <w:rsid w:val="007036E5"/>
    <w:rsid w:val="00703717"/>
    <w:rsid w:val="00703AE5"/>
    <w:rsid w:val="00703D58"/>
    <w:rsid w:val="007044C2"/>
    <w:rsid w:val="007047A7"/>
    <w:rsid w:val="00704A33"/>
    <w:rsid w:val="00704DEB"/>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1F36"/>
    <w:rsid w:val="00712163"/>
    <w:rsid w:val="007128DA"/>
    <w:rsid w:val="00712A0F"/>
    <w:rsid w:val="00712FDB"/>
    <w:rsid w:val="0071374D"/>
    <w:rsid w:val="0071405A"/>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3F"/>
    <w:rsid w:val="00723C7E"/>
    <w:rsid w:val="00723EC3"/>
    <w:rsid w:val="00724426"/>
    <w:rsid w:val="00724EC7"/>
    <w:rsid w:val="00725068"/>
    <w:rsid w:val="007254B1"/>
    <w:rsid w:val="0072560E"/>
    <w:rsid w:val="00725CB6"/>
    <w:rsid w:val="00725D75"/>
    <w:rsid w:val="0072602E"/>
    <w:rsid w:val="00726281"/>
    <w:rsid w:val="0072665F"/>
    <w:rsid w:val="007268C3"/>
    <w:rsid w:val="00726EAA"/>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2B"/>
    <w:rsid w:val="00733A74"/>
    <w:rsid w:val="00733A80"/>
    <w:rsid w:val="00733AA9"/>
    <w:rsid w:val="00733C23"/>
    <w:rsid w:val="00733D80"/>
    <w:rsid w:val="00733F4E"/>
    <w:rsid w:val="00734133"/>
    <w:rsid w:val="0073448F"/>
    <w:rsid w:val="0073473D"/>
    <w:rsid w:val="0073497A"/>
    <w:rsid w:val="00735519"/>
    <w:rsid w:val="007356D0"/>
    <w:rsid w:val="0073637C"/>
    <w:rsid w:val="00736521"/>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60B"/>
    <w:rsid w:val="00744F0F"/>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8B8"/>
    <w:rsid w:val="00763D32"/>
    <w:rsid w:val="00763F7A"/>
    <w:rsid w:val="00764A37"/>
    <w:rsid w:val="00764C3D"/>
    <w:rsid w:val="00764CDD"/>
    <w:rsid w:val="00764E4E"/>
    <w:rsid w:val="00764EB8"/>
    <w:rsid w:val="00764F42"/>
    <w:rsid w:val="00765098"/>
    <w:rsid w:val="007657DE"/>
    <w:rsid w:val="007657E5"/>
    <w:rsid w:val="0076598E"/>
    <w:rsid w:val="00765E5F"/>
    <w:rsid w:val="00765FDC"/>
    <w:rsid w:val="00766559"/>
    <w:rsid w:val="007667D5"/>
    <w:rsid w:val="00766B0E"/>
    <w:rsid w:val="00766BFB"/>
    <w:rsid w:val="00766CD1"/>
    <w:rsid w:val="00766DFE"/>
    <w:rsid w:val="0076704A"/>
    <w:rsid w:val="0076727D"/>
    <w:rsid w:val="0076731C"/>
    <w:rsid w:val="00767416"/>
    <w:rsid w:val="0076747C"/>
    <w:rsid w:val="007678B6"/>
    <w:rsid w:val="00767D5D"/>
    <w:rsid w:val="00770544"/>
    <w:rsid w:val="00770CEE"/>
    <w:rsid w:val="00771C48"/>
    <w:rsid w:val="00771D7E"/>
    <w:rsid w:val="007721AD"/>
    <w:rsid w:val="00772277"/>
    <w:rsid w:val="00772963"/>
    <w:rsid w:val="00772C23"/>
    <w:rsid w:val="00772D15"/>
    <w:rsid w:val="00772DC3"/>
    <w:rsid w:val="007731A4"/>
    <w:rsid w:val="00773322"/>
    <w:rsid w:val="007733C4"/>
    <w:rsid w:val="007733E9"/>
    <w:rsid w:val="00773A60"/>
    <w:rsid w:val="007743A1"/>
    <w:rsid w:val="007744EF"/>
    <w:rsid w:val="00774E74"/>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657"/>
    <w:rsid w:val="0078087C"/>
    <w:rsid w:val="00780980"/>
    <w:rsid w:val="007809E1"/>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FF1"/>
    <w:rsid w:val="00790267"/>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92D"/>
    <w:rsid w:val="00796F91"/>
    <w:rsid w:val="00797DAA"/>
    <w:rsid w:val="00797FCF"/>
    <w:rsid w:val="007A0616"/>
    <w:rsid w:val="007A091C"/>
    <w:rsid w:val="007A0DAC"/>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9C9"/>
    <w:rsid w:val="007A4AF1"/>
    <w:rsid w:val="007A5288"/>
    <w:rsid w:val="007A5F33"/>
    <w:rsid w:val="007A618D"/>
    <w:rsid w:val="007A6333"/>
    <w:rsid w:val="007A6477"/>
    <w:rsid w:val="007A6909"/>
    <w:rsid w:val="007A6D88"/>
    <w:rsid w:val="007A75A3"/>
    <w:rsid w:val="007A76D0"/>
    <w:rsid w:val="007B0253"/>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937"/>
    <w:rsid w:val="007B51B7"/>
    <w:rsid w:val="007B53E5"/>
    <w:rsid w:val="007B543A"/>
    <w:rsid w:val="007B5A66"/>
    <w:rsid w:val="007B630D"/>
    <w:rsid w:val="007B697F"/>
    <w:rsid w:val="007B6B11"/>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4DB6"/>
    <w:rsid w:val="007C508D"/>
    <w:rsid w:val="007C515A"/>
    <w:rsid w:val="007C52ED"/>
    <w:rsid w:val="007C56CE"/>
    <w:rsid w:val="007C5750"/>
    <w:rsid w:val="007C5768"/>
    <w:rsid w:val="007C5AB0"/>
    <w:rsid w:val="007C5CE6"/>
    <w:rsid w:val="007C5DB6"/>
    <w:rsid w:val="007C61E0"/>
    <w:rsid w:val="007C64BC"/>
    <w:rsid w:val="007C6566"/>
    <w:rsid w:val="007C6939"/>
    <w:rsid w:val="007C6941"/>
    <w:rsid w:val="007C6AFC"/>
    <w:rsid w:val="007C6D8A"/>
    <w:rsid w:val="007C6E76"/>
    <w:rsid w:val="007C6ED4"/>
    <w:rsid w:val="007C72F8"/>
    <w:rsid w:val="007C768A"/>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B7C"/>
    <w:rsid w:val="007D1B7D"/>
    <w:rsid w:val="007D1D9C"/>
    <w:rsid w:val="007D1DB9"/>
    <w:rsid w:val="007D1E84"/>
    <w:rsid w:val="007D214A"/>
    <w:rsid w:val="007D357E"/>
    <w:rsid w:val="007D3889"/>
    <w:rsid w:val="007D39A2"/>
    <w:rsid w:val="007D39AC"/>
    <w:rsid w:val="007D39D7"/>
    <w:rsid w:val="007D3A84"/>
    <w:rsid w:val="007D4EA2"/>
    <w:rsid w:val="007D4FF2"/>
    <w:rsid w:val="007D512C"/>
    <w:rsid w:val="007D526F"/>
    <w:rsid w:val="007D588A"/>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2EF8"/>
    <w:rsid w:val="007E46A3"/>
    <w:rsid w:val="007E478B"/>
    <w:rsid w:val="007E4854"/>
    <w:rsid w:val="007E486F"/>
    <w:rsid w:val="007E48CD"/>
    <w:rsid w:val="007E48E4"/>
    <w:rsid w:val="007E4C1C"/>
    <w:rsid w:val="007E4F0D"/>
    <w:rsid w:val="007E531F"/>
    <w:rsid w:val="007E5636"/>
    <w:rsid w:val="007E58E9"/>
    <w:rsid w:val="007E5A14"/>
    <w:rsid w:val="007E5FFD"/>
    <w:rsid w:val="007E62C6"/>
    <w:rsid w:val="007E6735"/>
    <w:rsid w:val="007E67F4"/>
    <w:rsid w:val="007E6936"/>
    <w:rsid w:val="007E6B86"/>
    <w:rsid w:val="007E6EF1"/>
    <w:rsid w:val="007E7B2B"/>
    <w:rsid w:val="007E7CBA"/>
    <w:rsid w:val="007F0076"/>
    <w:rsid w:val="007F02A8"/>
    <w:rsid w:val="007F03AA"/>
    <w:rsid w:val="007F05E0"/>
    <w:rsid w:val="007F0B77"/>
    <w:rsid w:val="007F0DD3"/>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50F"/>
    <w:rsid w:val="0080179D"/>
    <w:rsid w:val="00801838"/>
    <w:rsid w:val="00801D99"/>
    <w:rsid w:val="00801DCC"/>
    <w:rsid w:val="00801FBC"/>
    <w:rsid w:val="00801FC8"/>
    <w:rsid w:val="008021CF"/>
    <w:rsid w:val="00802410"/>
    <w:rsid w:val="008028F4"/>
    <w:rsid w:val="00803A20"/>
    <w:rsid w:val="00803E2E"/>
    <w:rsid w:val="008041E1"/>
    <w:rsid w:val="00804437"/>
    <w:rsid w:val="00804867"/>
    <w:rsid w:val="00804B2F"/>
    <w:rsid w:val="00804C3F"/>
    <w:rsid w:val="00805227"/>
    <w:rsid w:val="00805365"/>
    <w:rsid w:val="00806979"/>
    <w:rsid w:val="0080699F"/>
    <w:rsid w:val="00806ACA"/>
    <w:rsid w:val="00806D29"/>
    <w:rsid w:val="0080770D"/>
    <w:rsid w:val="00807D28"/>
    <w:rsid w:val="00807D5E"/>
    <w:rsid w:val="00807E1B"/>
    <w:rsid w:val="0081012C"/>
    <w:rsid w:val="00810234"/>
    <w:rsid w:val="008102E8"/>
    <w:rsid w:val="00810552"/>
    <w:rsid w:val="00810B1B"/>
    <w:rsid w:val="00810C3E"/>
    <w:rsid w:val="00810DE9"/>
    <w:rsid w:val="00810EAE"/>
    <w:rsid w:val="00811036"/>
    <w:rsid w:val="008110E0"/>
    <w:rsid w:val="00811A91"/>
    <w:rsid w:val="00811EF6"/>
    <w:rsid w:val="00811EFB"/>
    <w:rsid w:val="008123D5"/>
    <w:rsid w:val="0081242E"/>
    <w:rsid w:val="00812487"/>
    <w:rsid w:val="008124FE"/>
    <w:rsid w:val="00812506"/>
    <w:rsid w:val="008127B0"/>
    <w:rsid w:val="00813116"/>
    <w:rsid w:val="0081389D"/>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E33"/>
    <w:rsid w:val="00815E46"/>
    <w:rsid w:val="00815F85"/>
    <w:rsid w:val="00816654"/>
    <w:rsid w:val="00816A54"/>
    <w:rsid w:val="00816AA4"/>
    <w:rsid w:val="00816D94"/>
    <w:rsid w:val="00816E87"/>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2A4A"/>
    <w:rsid w:val="00823335"/>
    <w:rsid w:val="00823571"/>
    <w:rsid w:val="008237B2"/>
    <w:rsid w:val="00823F61"/>
    <w:rsid w:val="0082449E"/>
    <w:rsid w:val="008249FF"/>
    <w:rsid w:val="008251EC"/>
    <w:rsid w:val="0082540D"/>
    <w:rsid w:val="00825A10"/>
    <w:rsid w:val="00825DD4"/>
    <w:rsid w:val="00826204"/>
    <w:rsid w:val="008268E7"/>
    <w:rsid w:val="00826D90"/>
    <w:rsid w:val="00826D9C"/>
    <w:rsid w:val="00827015"/>
    <w:rsid w:val="00827105"/>
    <w:rsid w:val="00827109"/>
    <w:rsid w:val="00827648"/>
    <w:rsid w:val="00827A41"/>
    <w:rsid w:val="00827AF3"/>
    <w:rsid w:val="00827F55"/>
    <w:rsid w:val="008303FD"/>
    <w:rsid w:val="0083056F"/>
    <w:rsid w:val="008307F2"/>
    <w:rsid w:val="008309E1"/>
    <w:rsid w:val="00830F16"/>
    <w:rsid w:val="00831198"/>
    <w:rsid w:val="008312E2"/>
    <w:rsid w:val="008314BC"/>
    <w:rsid w:val="00832142"/>
    <w:rsid w:val="008323AC"/>
    <w:rsid w:val="00832609"/>
    <w:rsid w:val="00832C18"/>
    <w:rsid w:val="00832CAF"/>
    <w:rsid w:val="00832EC1"/>
    <w:rsid w:val="00832FA4"/>
    <w:rsid w:val="008330DB"/>
    <w:rsid w:val="00833EF5"/>
    <w:rsid w:val="00833F06"/>
    <w:rsid w:val="008340A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A0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467"/>
    <w:rsid w:val="008464D7"/>
    <w:rsid w:val="00846EED"/>
    <w:rsid w:val="00847291"/>
    <w:rsid w:val="00847721"/>
    <w:rsid w:val="00847991"/>
    <w:rsid w:val="00847BA6"/>
    <w:rsid w:val="00847C4E"/>
    <w:rsid w:val="00847F04"/>
    <w:rsid w:val="00850752"/>
    <w:rsid w:val="0085130C"/>
    <w:rsid w:val="00851B22"/>
    <w:rsid w:val="00852154"/>
    <w:rsid w:val="008521C5"/>
    <w:rsid w:val="00852338"/>
    <w:rsid w:val="00852F3B"/>
    <w:rsid w:val="00853132"/>
    <w:rsid w:val="0085379A"/>
    <w:rsid w:val="00853B2A"/>
    <w:rsid w:val="00853B65"/>
    <w:rsid w:val="00853C45"/>
    <w:rsid w:val="00853C94"/>
    <w:rsid w:val="00853D0C"/>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1B41"/>
    <w:rsid w:val="00861D65"/>
    <w:rsid w:val="00861DA1"/>
    <w:rsid w:val="00861E84"/>
    <w:rsid w:val="008620C2"/>
    <w:rsid w:val="008620CF"/>
    <w:rsid w:val="00862173"/>
    <w:rsid w:val="00862290"/>
    <w:rsid w:val="008626B0"/>
    <w:rsid w:val="00862988"/>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0A"/>
    <w:rsid w:val="00885F46"/>
    <w:rsid w:val="00886116"/>
    <w:rsid w:val="0088651F"/>
    <w:rsid w:val="008867A8"/>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3E3B"/>
    <w:rsid w:val="00894148"/>
    <w:rsid w:val="00894304"/>
    <w:rsid w:val="0089430B"/>
    <w:rsid w:val="00894C16"/>
    <w:rsid w:val="00894C3B"/>
    <w:rsid w:val="00894D6C"/>
    <w:rsid w:val="00894FEF"/>
    <w:rsid w:val="00895243"/>
    <w:rsid w:val="008953FF"/>
    <w:rsid w:val="00895A0C"/>
    <w:rsid w:val="0089622F"/>
    <w:rsid w:val="00896A6F"/>
    <w:rsid w:val="00896D10"/>
    <w:rsid w:val="00896DF5"/>
    <w:rsid w:val="00897680"/>
    <w:rsid w:val="008A0173"/>
    <w:rsid w:val="008A0339"/>
    <w:rsid w:val="008A03A0"/>
    <w:rsid w:val="008A0473"/>
    <w:rsid w:val="008A04C7"/>
    <w:rsid w:val="008A0506"/>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786"/>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E5"/>
    <w:rsid w:val="008B21F5"/>
    <w:rsid w:val="008B269F"/>
    <w:rsid w:val="008B2A2E"/>
    <w:rsid w:val="008B2D1D"/>
    <w:rsid w:val="008B2DEB"/>
    <w:rsid w:val="008B35ED"/>
    <w:rsid w:val="008B363C"/>
    <w:rsid w:val="008B41EF"/>
    <w:rsid w:val="008B4230"/>
    <w:rsid w:val="008B447F"/>
    <w:rsid w:val="008B480C"/>
    <w:rsid w:val="008B4B0D"/>
    <w:rsid w:val="008B4B33"/>
    <w:rsid w:val="008B4ECD"/>
    <w:rsid w:val="008B50A1"/>
    <w:rsid w:val="008B5577"/>
    <w:rsid w:val="008B60E9"/>
    <w:rsid w:val="008B60ED"/>
    <w:rsid w:val="008B614C"/>
    <w:rsid w:val="008B6E5C"/>
    <w:rsid w:val="008B739E"/>
    <w:rsid w:val="008B766A"/>
    <w:rsid w:val="008B7A0E"/>
    <w:rsid w:val="008B7A37"/>
    <w:rsid w:val="008B7BD4"/>
    <w:rsid w:val="008B7E5B"/>
    <w:rsid w:val="008C022D"/>
    <w:rsid w:val="008C0431"/>
    <w:rsid w:val="008C0610"/>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345"/>
    <w:rsid w:val="008C6C7A"/>
    <w:rsid w:val="008C6F4F"/>
    <w:rsid w:val="008C738F"/>
    <w:rsid w:val="008C74CC"/>
    <w:rsid w:val="008C74F9"/>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8F"/>
    <w:rsid w:val="008D538D"/>
    <w:rsid w:val="008D592F"/>
    <w:rsid w:val="008D59D0"/>
    <w:rsid w:val="008D5F2E"/>
    <w:rsid w:val="008D5FCD"/>
    <w:rsid w:val="008D6733"/>
    <w:rsid w:val="008D6D0E"/>
    <w:rsid w:val="008D6F90"/>
    <w:rsid w:val="008D722D"/>
    <w:rsid w:val="008D72A4"/>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79"/>
    <w:rsid w:val="008E49C6"/>
    <w:rsid w:val="008E5B5F"/>
    <w:rsid w:val="008E5D5A"/>
    <w:rsid w:val="008E6012"/>
    <w:rsid w:val="008E60B3"/>
    <w:rsid w:val="008E6333"/>
    <w:rsid w:val="008E6658"/>
    <w:rsid w:val="008E6788"/>
    <w:rsid w:val="008E6C71"/>
    <w:rsid w:val="008E6F34"/>
    <w:rsid w:val="008E70B2"/>
    <w:rsid w:val="008E7DB3"/>
    <w:rsid w:val="008E7E01"/>
    <w:rsid w:val="008E7E0A"/>
    <w:rsid w:val="008F01AB"/>
    <w:rsid w:val="008F0460"/>
    <w:rsid w:val="008F0D27"/>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134"/>
    <w:rsid w:val="00901845"/>
    <w:rsid w:val="00901F96"/>
    <w:rsid w:val="00901F9A"/>
    <w:rsid w:val="009022BC"/>
    <w:rsid w:val="0090255A"/>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598"/>
    <w:rsid w:val="00905A06"/>
    <w:rsid w:val="00905D00"/>
    <w:rsid w:val="00906100"/>
    <w:rsid w:val="009061A5"/>
    <w:rsid w:val="009067B8"/>
    <w:rsid w:val="00906DA9"/>
    <w:rsid w:val="00906EED"/>
    <w:rsid w:val="00907071"/>
    <w:rsid w:val="0090715C"/>
    <w:rsid w:val="009108A7"/>
    <w:rsid w:val="00910ED6"/>
    <w:rsid w:val="00911E1A"/>
    <w:rsid w:val="009121EF"/>
    <w:rsid w:val="009123B9"/>
    <w:rsid w:val="0091253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0C9"/>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B23"/>
    <w:rsid w:val="00925DD1"/>
    <w:rsid w:val="009260EC"/>
    <w:rsid w:val="00926264"/>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A98"/>
    <w:rsid w:val="00934F8E"/>
    <w:rsid w:val="009355F0"/>
    <w:rsid w:val="009358ED"/>
    <w:rsid w:val="009359D2"/>
    <w:rsid w:val="00935B52"/>
    <w:rsid w:val="00935BD1"/>
    <w:rsid w:val="0093676F"/>
    <w:rsid w:val="00936951"/>
    <w:rsid w:val="00936A90"/>
    <w:rsid w:val="00936AB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ACA"/>
    <w:rsid w:val="00952D41"/>
    <w:rsid w:val="009537A7"/>
    <w:rsid w:val="00953B1F"/>
    <w:rsid w:val="009542C9"/>
    <w:rsid w:val="0095466F"/>
    <w:rsid w:val="009548C3"/>
    <w:rsid w:val="00954E15"/>
    <w:rsid w:val="0095506D"/>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62F"/>
    <w:rsid w:val="00977852"/>
    <w:rsid w:val="009778AB"/>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C41"/>
    <w:rsid w:val="00984206"/>
    <w:rsid w:val="00984449"/>
    <w:rsid w:val="0098511E"/>
    <w:rsid w:val="009852B3"/>
    <w:rsid w:val="0098541D"/>
    <w:rsid w:val="00985426"/>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CC7"/>
    <w:rsid w:val="00995D7A"/>
    <w:rsid w:val="00996546"/>
    <w:rsid w:val="00996A8B"/>
    <w:rsid w:val="00996CD1"/>
    <w:rsid w:val="00996CD4"/>
    <w:rsid w:val="00996D2C"/>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7CF"/>
    <w:rsid w:val="009B3C79"/>
    <w:rsid w:val="009B3DBB"/>
    <w:rsid w:val="009B4300"/>
    <w:rsid w:val="009B4821"/>
    <w:rsid w:val="009B4BED"/>
    <w:rsid w:val="009B4C24"/>
    <w:rsid w:val="009B4DC3"/>
    <w:rsid w:val="009B553F"/>
    <w:rsid w:val="009B5821"/>
    <w:rsid w:val="009B59B0"/>
    <w:rsid w:val="009B5E51"/>
    <w:rsid w:val="009B616B"/>
    <w:rsid w:val="009B68AD"/>
    <w:rsid w:val="009B6C13"/>
    <w:rsid w:val="009B6C79"/>
    <w:rsid w:val="009B7833"/>
    <w:rsid w:val="009B7BB7"/>
    <w:rsid w:val="009B7FFA"/>
    <w:rsid w:val="009C00EF"/>
    <w:rsid w:val="009C01D2"/>
    <w:rsid w:val="009C080A"/>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2118"/>
    <w:rsid w:val="009D22EA"/>
    <w:rsid w:val="009D264B"/>
    <w:rsid w:val="009D2C43"/>
    <w:rsid w:val="009D327E"/>
    <w:rsid w:val="009D3CC0"/>
    <w:rsid w:val="009D3D45"/>
    <w:rsid w:val="009D422C"/>
    <w:rsid w:val="009D4303"/>
    <w:rsid w:val="009D478C"/>
    <w:rsid w:val="009D49A4"/>
    <w:rsid w:val="009D4A8E"/>
    <w:rsid w:val="009D4DA3"/>
    <w:rsid w:val="009D5D83"/>
    <w:rsid w:val="009D610C"/>
    <w:rsid w:val="009D62E7"/>
    <w:rsid w:val="009D6BC4"/>
    <w:rsid w:val="009D74BA"/>
    <w:rsid w:val="009D75A4"/>
    <w:rsid w:val="009D766D"/>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50"/>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F4"/>
    <w:rsid w:val="00A04541"/>
    <w:rsid w:val="00A04846"/>
    <w:rsid w:val="00A04A92"/>
    <w:rsid w:val="00A04CA0"/>
    <w:rsid w:val="00A04FA0"/>
    <w:rsid w:val="00A0519C"/>
    <w:rsid w:val="00A0559E"/>
    <w:rsid w:val="00A058B5"/>
    <w:rsid w:val="00A05A1F"/>
    <w:rsid w:val="00A05BA9"/>
    <w:rsid w:val="00A05DFF"/>
    <w:rsid w:val="00A05FF8"/>
    <w:rsid w:val="00A066E6"/>
    <w:rsid w:val="00A0687B"/>
    <w:rsid w:val="00A069BD"/>
    <w:rsid w:val="00A06F57"/>
    <w:rsid w:val="00A0738B"/>
    <w:rsid w:val="00A07654"/>
    <w:rsid w:val="00A0780A"/>
    <w:rsid w:val="00A07B16"/>
    <w:rsid w:val="00A07B18"/>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B4D"/>
    <w:rsid w:val="00A13CD6"/>
    <w:rsid w:val="00A13CF1"/>
    <w:rsid w:val="00A13D0E"/>
    <w:rsid w:val="00A13E1C"/>
    <w:rsid w:val="00A13E59"/>
    <w:rsid w:val="00A145D0"/>
    <w:rsid w:val="00A14743"/>
    <w:rsid w:val="00A14B5D"/>
    <w:rsid w:val="00A152F7"/>
    <w:rsid w:val="00A15521"/>
    <w:rsid w:val="00A1562F"/>
    <w:rsid w:val="00A157EC"/>
    <w:rsid w:val="00A15ABD"/>
    <w:rsid w:val="00A160E1"/>
    <w:rsid w:val="00A16150"/>
    <w:rsid w:val="00A1630A"/>
    <w:rsid w:val="00A1637F"/>
    <w:rsid w:val="00A163FD"/>
    <w:rsid w:val="00A16416"/>
    <w:rsid w:val="00A168E0"/>
    <w:rsid w:val="00A16A02"/>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83E"/>
    <w:rsid w:val="00A259E6"/>
    <w:rsid w:val="00A25A28"/>
    <w:rsid w:val="00A25F8A"/>
    <w:rsid w:val="00A261E4"/>
    <w:rsid w:val="00A267CB"/>
    <w:rsid w:val="00A26883"/>
    <w:rsid w:val="00A26CF7"/>
    <w:rsid w:val="00A26D60"/>
    <w:rsid w:val="00A26E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C3D"/>
    <w:rsid w:val="00A33C9E"/>
    <w:rsid w:val="00A34A25"/>
    <w:rsid w:val="00A34FD0"/>
    <w:rsid w:val="00A35735"/>
    <w:rsid w:val="00A35A0B"/>
    <w:rsid w:val="00A362CB"/>
    <w:rsid w:val="00A36694"/>
    <w:rsid w:val="00A36DC8"/>
    <w:rsid w:val="00A370C7"/>
    <w:rsid w:val="00A3747D"/>
    <w:rsid w:val="00A375E2"/>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882"/>
    <w:rsid w:val="00A44AA5"/>
    <w:rsid w:val="00A44B72"/>
    <w:rsid w:val="00A44E28"/>
    <w:rsid w:val="00A450FC"/>
    <w:rsid w:val="00A4570E"/>
    <w:rsid w:val="00A45A3B"/>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BC1"/>
    <w:rsid w:val="00A521E0"/>
    <w:rsid w:val="00A52B0A"/>
    <w:rsid w:val="00A52BE8"/>
    <w:rsid w:val="00A52D1E"/>
    <w:rsid w:val="00A5411F"/>
    <w:rsid w:val="00A54492"/>
    <w:rsid w:val="00A544BF"/>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67D"/>
    <w:rsid w:val="00A6098D"/>
    <w:rsid w:val="00A609E3"/>
    <w:rsid w:val="00A61298"/>
    <w:rsid w:val="00A61828"/>
    <w:rsid w:val="00A61BD5"/>
    <w:rsid w:val="00A620AA"/>
    <w:rsid w:val="00A62182"/>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AFD"/>
    <w:rsid w:val="00A702D5"/>
    <w:rsid w:val="00A7033A"/>
    <w:rsid w:val="00A70A35"/>
    <w:rsid w:val="00A70CC7"/>
    <w:rsid w:val="00A711DB"/>
    <w:rsid w:val="00A71221"/>
    <w:rsid w:val="00A713F2"/>
    <w:rsid w:val="00A7141F"/>
    <w:rsid w:val="00A71CDC"/>
    <w:rsid w:val="00A71D6B"/>
    <w:rsid w:val="00A72221"/>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48"/>
    <w:rsid w:val="00A80E52"/>
    <w:rsid w:val="00A8115F"/>
    <w:rsid w:val="00A81281"/>
    <w:rsid w:val="00A8135C"/>
    <w:rsid w:val="00A81633"/>
    <w:rsid w:val="00A81E1C"/>
    <w:rsid w:val="00A8221B"/>
    <w:rsid w:val="00A82665"/>
    <w:rsid w:val="00A826CD"/>
    <w:rsid w:val="00A82AF4"/>
    <w:rsid w:val="00A82DA1"/>
    <w:rsid w:val="00A831F0"/>
    <w:rsid w:val="00A83315"/>
    <w:rsid w:val="00A834EC"/>
    <w:rsid w:val="00A8353F"/>
    <w:rsid w:val="00A83710"/>
    <w:rsid w:val="00A83BF1"/>
    <w:rsid w:val="00A83C06"/>
    <w:rsid w:val="00A83C5B"/>
    <w:rsid w:val="00A84298"/>
    <w:rsid w:val="00A8490B"/>
    <w:rsid w:val="00A84BB0"/>
    <w:rsid w:val="00A8513A"/>
    <w:rsid w:val="00A8523D"/>
    <w:rsid w:val="00A853DF"/>
    <w:rsid w:val="00A85661"/>
    <w:rsid w:val="00A85FFF"/>
    <w:rsid w:val="00A869B4"/>
    <w:rsid w:val="00A86ACD"/>
    <w:rsid w:val="00A86AE7"/>
    <w:rsid w:val="00A86D23"/>
    <w:rsid w:val="00A86FEF"/>
    <w:rsid w:val="00A87482"/>
    <w:rsid w:val="00A8793D"/>
    <w:rsid w:val="00A879F9"/>
    <w:rsid w:val="00A87C98"/>
    <w:rsid w:val="00A9018C"/>
    <w:rsid w:val="00A90218"/>
    <w:rsid w:val="00A905F1"/>
    <w:rsid w:val="00A90E27"/>
    <w:rsid w:val="00A91218"/>
    <w:rsid w:val="00A91469"/>
    <w:rsid w:val="00A9164F"/>
    <w:rsid w:val="00A917CC"/>
    <w:rsid w:val="00A91B1D"/>
    <w:rsid w:val="00A91C52"/>
    <w:rsid w:val="00A91F3E"/>
    <w:rsid w:val="00A92466"/>
    <w:rsid w:val="00A9266D"/>
    <w:rsid w:val="00A92DBC"/>
    <w:rsid w:val="00A930F9"/>
    <w:rsid w:val="00A934FE"/>
    <w:rsid w:val="00A93715"/>
    <w:rsid w:val="00A9399B"/>
    <w:rsid w:val="00A939D3"/>
    <w:rsid w:val="00A93AAE"/>
    <w:rsid w:val="00A93BDA"/>
    <w:rsid w:val="00A93E41"/>
    <w:rsid w:val="00A93F3C"/>
    <w:rsid w:val="00A94A70"/>
    <w:rsid w:val="00A9505F"/>
    <w:rsid w:val="00A950D2"/>
    <w:rsid w:val="00A9526D"/>
    <w:rsid w:val="00A95A3E"/>
    <w:rsid w:val="00A95CB8"/>
    <w:rsid w:val="00A95DBB"/>
    <w:rsid w:val="00A96058"/>
    <w:rsid w:val="00A96801"/>
    <w:rsid w:val="00A9692B"/>
    <w:rsid w:val="00A96D7E"/>
    <w:rsid w:val="00A9727C"/>
    <w:rsid w:val="00A97465"/>
    <w:rsid w:val="00A97666"/>
    <w:rsid w:val="00A97711"/>
    <w:rsid w:val="00A97B8C"/>
    <w:rsid w:val="00A97E7B"/>
    <w:rsid w:val="00AA0003"/>
    <w:rsid w:val="00AA0811"/>
    <w:rsid w:val="00AA0ABC"/>
    <w:rsid w:val="00AA158B"/>
    <w:rsid w:val="00AA1A60"/>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7D0"/>
    <w:rsid w:val="00AC2AEF"/>
    <w:rsid w:val="00AC2D39"/>
    <w:rsid w:val="00AC2D4E"/>
    <w:rsid w:val="00AC2FB2"/>
    <w:rsid w:val="00AC3084"/>
    <w:rsid w:val="00AC3431"/>
    <w:rsid w:val="00AC38E9"/>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4EF5"/>
    <w:rsid w:val="00AD514B"/>
    <w:rsid w:val="00AD5542"/>
    <w:rsid w:val="00AD587B"/>
    <w:rsid w:val="00AD5930"/>
    <w:rsid w:val="00AD5F5A"/>
    <w:rsid w:val="00AD6025"/>
    <w:rsid w:val="00AD6C7F"/>
    <w:rsid w:val="00AD70C9"/>
    <w:rsid w:val="00AD732B"/>
    <w:rsid w:val="00AD74FD"/>
    <w:rsid w:val="00AD75A6"/>
    <w:rsid w:val="00AD7769"/>
    <w:rsid w:val="00AD7838"/>
    <w:rsid w:val="00AD7927"/>
    <w:rsid w:val="00AD7B75"/>
    <w:rsid w:val="00AD7CD8"/>
    <w:rsid w:val="00AE00EF"/>
    <w:rsid w:val="00AE075A"/>
    <w:rsid w:val="00AE0D12"/>
    <w:rsid w:val="00AE0D23"/>
    <w:rsid w:val="00AE0E9E"/>
    <w:rsid w:val="00AE1418"/>
    <w:rsid w:val="00AE14B7"/>
    <w:rsid w:val="00AE186D"/>
    <w:rsid w:val="00AE1C33"/>
    <w:rsid w:val="00AE2057"/>
    <w:rsid w:val="00AE2205"/>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B02"/>
    <w:rsid w:val="00AE7E0E"/>
    <w:rsid w:val="00AF0801"/>
    <w:rsid w:val="00AF1156"/>
    <w:rsid w:val="00AF13DC"/>
    <w:rsid w:val="00AF1414"/>
    <w:rsid w:val="00AF26BE"/>
    <w:rsid w:val="00AF28B0"/>
    <w:rsid w:val="00AF2D55"/>
    <w:rsid w:val="00AF2DED"/>
    <w:rsid w:val="00AF2E7C"/>
    <w:rsid w:val="00AF377C"/>
    <w:rsid w:val="00AF3C80"/>
    <w:rsid w:val="00AF3C8C"/>
    <w:rsid w:val="00AF3EB8"/>
    <w:rsid w:val="00AF40D4"/>
    <w:rsid w:val="00AF41FC"/>
    <w:rsid w:val="00AF457C"/>
    <w:rsid w:val="00AF457D"/>
    <w:rsid w:val="00AF4648"/>
    <w:rsid w:val="00AF4BDB"/>
    <w:rsid w:val="00AF4C53"/>
    <w:rsid w:val="00AF5021"/>
    <w:rsid w:val="00AF5312"/>
    <w:rsid w:val="00AF5363"/>
    <w:rsid w:val="00AF5478"/>
    <w:rsid w:val="00AF5A90"/>
    <w:rsid w:val="00AF5B9F"/>
    <w:rsid w:val="00AF5E03"/>
    <w:rsid w:val="00AF5F78"/>
    <w:rsid w:val="00AF609E"/>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688"/>
    <w:rsid w:val="00B060B4"/>
    <w:rsid w:val="00B06574"/>
    <w:rsid w:val="00B06A2A"/>
    <w:rsid w:val="00B06AF4"/>
    <w:rsid w:val="00B06C77"/>
    <w:rsid w:val="00B07479"/>
    <w:rsid w:val="00B075EC"/>
    <w:rsid w:val="00B079E8"/>
    <w:rsid w:val="00B07A7C"/>
    <w:rsid w:val="00B07CBE"/>
    <w:rsid w:val="00B07F35"/>
    <w:rsid w:val="00B1044B"/>
    <w:rsid w:val="00B1093D"/>
    <w:rsid w:val="00B10BD1"/>
    <w:rsid w:val="00B10CE6"/>
    <w:rsid w:val="00B10DB5"/>
    <w:rsid w:val="00B110E0"/>
    <w:rsid w:val="00B111BF"/>
    <w:rsid w:val="00B114C4"/>
    <w:rsid w:val="00B11882"/>
    <w:rsid w:val="00B11E29"/>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A0F"/>
    <w:rsid w:val="00B167A6"/>
    <w:rsid w:val="00B16B5F"/>
    <w:rsid w:val="00B16E3A"/>
    <w:rsid w:val="00B1736C"/>
    <w:rsid w:val="00B174E2"/>
    <w:rsid w:val="00B175EA"/>
    <w:rsid w:val="00B17744"/>
    <w:rsid w:val="00B17853"/>
    <w:rsid w:val="00B20057"/>
    <w:rsid w:val="00B20075"/>
    <w:rsid w:val="00B2043A"/>
    <w:rsid w:val="00B206FB"/>
    <w:rsid w:val="00B20C9F"/>
    <w:rsid w:val="00B20E2B"/>
    <w:rsid w:val="00B21016"/>
    <w:rsid w:val="00B215F9"/>
    <w:rsid w:val="00B21CA7"/>
    <w:rsid w:val="00B21CB7"/>
    <w:rsid w:val="00B21D72"/>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D8A"/>
    <w:rsid w:val="00B30F29"/>
    <w:rsid w:val="00B316A1"/>
    <w:rsid w:val="00B31E5F"/>
    <w:rsid w:val="00B31F6B"/>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7DE"/>
    <w:rsid w:val="00B36AB2"/>
    <w:rsid w:val="00B36F42"/>
    <w:rsid w:val="00B37121"/>
    <w:rsid w:val="00B37228"/>
    <w:rsid w:val="00B37DD5"/>
    <w:rsid w:val="00B4003E"/>
    <w:rsid w:val="00B40292"/>
    <w:rsid w:val="00B40405"/>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0A47"/>
    <w:rsid w:val="00B51014"/>
    <w:rsid w:val="00B51420"/>
    <w:rsid w:val="00B51526"/>
    <w:rsid w:val="00B51A40"/>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ACA"/>
    <w:rsid w:val="00B5612F"/>
    <w:rsid w:val="00B566E0"/>
    <w:rsid w:val="00B5685D"/>
    <w:rsid w:val="00B56BA8"/>
    <w:rsid w:val="00B57639"/>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3411"/>
    <w:rsid w:val="00B63834"/>
    <w:rsid w:val="00B63870"/>
    <w:rsid w:val="00B63D4F"/>
    <w:rsid w:val="00B640AB"/>
    <w:rsid w:val="00B642F1"/>
    <w:rsid w:val="00B64398"/>
    <w:rsid w:val="00B64484"/>
    <w:rsid w:val="00B645EE"/>
    <w:rsid w:val="00B645F8"/>
    <w:rsid w:val="00B646A6"/>
    <w:rsid w:val="00B652B0"/>
    <w:rsid w:val="00B657B5"/>
    <w:rsid w:val="00B65D1C"/>
    <w:rsid w:val="00B65E9D"/>
    <w:rsid w:val="00B660F5"/>
    <w:rsid w:val="00B664EC"/>
    <w:rsid w:val="00B667B2"/>
    <w:rsid w:val="00B66801"/>
    <w:rsid w:val="00B6733D"/>
    <w:rsid w:val="00B6796C"/>
    <w:rsid w:val="00B67B2B"/>
    <w:rsid w:val="00B67E89"/>
    <w:rsid w:val="00B70333"/>
    <w:rsid w:val="00B70584"/>
    <w:rsid w:val="00B70A49"/>
    <w:rsid w:val="00B70DDA"/>
    <w:rsid w:val="00B70EDB"/>
    <w:rsid w:val="00B71212"/>
    <w:rsid w:val="00B71A5D"/>
    <w:rsid w:val="00B72184"/>
    <w:rsid w:val="00B7273B"/>
    <w:rsid w:val="00B727B8"/>
    <w:rsid w:val="00B72964"/>
    <w:rsid w:val="00B73259"/>
    <w:rsid w:val="00B73453"/>
    <w:rsid w:val="00B737C7"/>
    <w:rsid w:val="00B73801"/>
    <w:rsid w:val="00B741DB"/>
    <w:rsid w:val="00B74921"/>
    <w:rsid w:val="00B74A0D"/>
    <w:rsid w:val="00B74E88"/>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53"/>
    <w:rsid w:val="00B84BE8"/>
    <w:rsid w:val="00B85BF7"/>
    <w:rsid w:val="00B85E03"/>
    <w:rsid w:val="00B85F67"/>
    <w:rsid w:val="00B86017"/>
    <w:rsid w:val="00B86551"/>
    <w:rsid w:val="00B86557"/>
    <w:rsid w:val="00B86734"/>
    <w:rsid w:val="00B868FC"/>
    <w:rsid w:val="00B8692C"/>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50E8"/>
    <w:rsid w:val="00B95242"/>
    <w:rsid w:val="00B95305"/>
    <w:rsid w:val="00B9532A"/>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848"/>
    <w:rsid w:val="00B97B85"/>
    <w:rsid w:val="00BA067F"/>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F9"/>
    <w:rsid w:val="00BA4E3A"/>
    <w:rsid w:val="00BA5346"/>
    <w:rsid w:val="00BA54FB"/>
    <w:rsid w:val="00BA5C97"/>
    <w:rsid w:val="00BA5EFB"/>
    <w:rsid w:val="00BA6282"/>
    <w:rsid w:val="00BA659A"/>
    <w:rsid w:val="00BA68C1"/>
    <w:rsid w:val="00BA6CFD"/>
    <w:rsid w:val="00BA7339"/>
    <w:rsid w:val="00BA7423"/>
    <w:rsid w:val="00BA7541"/>
    <w:rsid w:val="00BA7688"/>
    <w:rsid w:val="00BA7C05"/>
    <w:rsid w:val="00BA7EB0"/>
    <w:rsid w:val="00BA7F97"/>
    <w:rsid w:val="00BB0528"/>
    <w:rsid w:val="00BB0678"/>
    <w:rsid w:val="00BB070E"/>
    <w:rsid w:val="00BB0AFC"/>
    <w:rsid w:val="00BB0B3E"/>
    <w:rsid w:val="00BB0B41"/>
    <w:rsid w:val="00BB0D75"/>
    <w:rsid w:val="00BB142F"/>
    <w:rsid w:val="00BB180B"/>
    <w:rsid w:val="00BB1966"/>
    <w:rsid w:val="00BB1B24"/>
    <w:rsid w:val="00BB1C4F"/>
    <w:rsid w:val="00BB1D50"/>
    <w:rsid w:val="00BB214F"/>
    <w:rsid w:val="00BB225D"/>
    <w:rsid w:val="00BB2432"/>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99E"/>
    <w:rsid w:val="00BC5CE2"/>
    <w:rsid w:val="00BC6582"/>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194"/>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72F"/>
    <w:rsid w:val="00BE12D2"/>
    <w:rsid w:val="00BE13B8"/>
    <w:rsid w:val="00BE16A6"/>
    <w:rsid w:val="00BE16C6"/>
    <w:rsid w:val="00BE16EF"/>
    <w:rsid w:val="00BE1959"/>
    <w:rsid w:val="00BE197A"/>
    <w:rsid w:val="00BE1A06"/>
    <w:rsid w:val="00BE1B51"/>
    <w:rsid w:val="00BE1D45"/>
    <w:rsid w:val="00BE227B"/>
    <w:rsid w:val="00BE269D"/>
    <w:rsid w:val="00BE28FE"/>
    <w:rsid w:val="00BE312F"/>
    <w:rsid w:val="00BE370C"/>
    <w:rsid w:val="00BE3EA0"/>
    <w:rsid w:val="00BE403F"/>
    <w:rsid w:val="00BE444A"/>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FFA"/>
    <w:rsid w:val="00BF408E"/>
    <w:rsid w:val="00BF4378"/>
    <w:rsid w:val="00BF46F1"/>
    <w:rsid w:val="00BF4928"/>
    <w:rsid w:val="00BF4B69"/>
    <w:rsid w:val="00BF56A8"/>
    <w:rsid w:val="00BF5EED"/>
    <w:rsid w:val="00BF60E3"/>
    <w:rsid w:val="00BF6682"/>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56C"/>
    <w:rsid w:val="00C02B2A"/>
    <w:rsid w:val="00C02CDE"/>
    <w:rsid w:val="00C030C3"/>
    <w:rsid w:val="00C035A1"/>
    <w:rsid w:val="00C039B6"/>
    <w:rsid w:val="00C03B7B"/>
    <w:rsid w:val="00C03F76"/>
    <w:rsid w:val="00C04B82"/>
    <w:rsid w:val="00C057E0"/>
    <w:rsid w:val="00C05863"/>
    <w:rsid w:val="00C05C20"/>
    <w:rsid w:val="00C06066"/>
    <w:rsid w:val="00C061E3"/>
    <w:rsid w:val="00C0648A"/>
    <w:rsid w:val="00C06756"/>
    <w:rsid w:val="00C067A4"/>
    <w:rsid w:val="00C06B3D"/>
    <w:rsid w:val="00C06BE9"/>
    <w:rsid w:val="00C070D8"/>
    <w:rsid w:val="00C079D6"/>
    <w:rsid w:val="00C07A6C"/>
    <w:rsid w:val="00C07AE3"/>
    <w:rsid w:val="00C07AE4"/>
    <w:rsid w:val="00C07D3E"/>
    <w:rsid w:val="00C07FFD"/>
    <w:rsid w:val="00C10099"/>
    <w:rsid w:val="00C10227"/>
    <w:rsid w:val="00C10599"/>
    <w:rsid w:val="00C106DF"/>
    <w:rsid w:val="00C1114F"/>
    <w:rsid w:val="00C11183"/>
    <w:rsid w:val="00C11197"/>
    <w:rsid w:val="00C1120D"/>
    <w:rsid w:val="00C11C33"/>
    <w:rsid w:val="00C11C73"/>
    <w:rsid w:val="00C11FE5"/>
    <w:rsid w:val="00C11FF6"/>
    <w:rsid w:val="00C1216B"/>
    <w:rsid w:val="00C1286D"/>
    <w:rsid w:val="00C12E86"/>
    <w:rsid w:val="00C12EB5"/>
    <w:rsid w:val="00C131A7"/>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7099"/>
    <w:rsid w:val="00C1733B"/>
    <w:rsid w:val="00C1741D"/>
    <w:rsid w:val="00C1745A"/>
    <w:rsid w:val="00C174EC"/>
    <w:rsid w:val="00C17593"/>
    <w:rsid w:val="00C177BA"/>
    <w:rsid w:val="00C1782C"/>
    <w:rsid w:val="00C17A44"/>
    <w:rsid w:val="00C17D7E"/>
    <w:rsid w:val="00C17D89"/>
    <w:rsid w:val="00C202D5"/>
    <w:rsid w:val="00C2068D"/>
    <w:rsid w:val="00C206C4"/>
    <w:rsid w:val="00C206EC"/>
    <w:rsid w:val="00C20F77"/>
    <w:rsid w:val="00C20FC7"/>
    <w:rsid w:val="00C218D5"/>
    <w:rsid w:val="00C21B1D"/>
    <w:rsid w:val="00C21C53"/>
    <w:rsid w:val="00C22106"/>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1FB"/>
    <w:rsid w:val="00C263AE"/>
    <w:rsid w:val="00C267D7"/>
    <w:rsid w:val="00C26871"/>
    <w:rsid w:val="00C2695A"/>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BB7"/>
    <w:rsid w:val="00C333B6"/>
    <w:rsid w:val="00C336E5"/>
    <w:rsid w:val="00C339DE"/>
    <w:rsid w:val="00C33AA7"/>
    <w:rsid w:val="00C33DCE"/>
    <w:rsid w:val="00C34010"/>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55"/>
    <w:rsid w:val="00C42784"/>
    <w:rsid w:val="00C42960"/>
    <w:rsid w:val="00C429E1"/>
    <w:rsid w:val="00C43421"/>
    <w:rsid w:val="00C439F0"/>
    <w:rsid w:val="00C43CE7"/>
    <w:rsid w:val="00C44189"/>
    <w:rsid w:val="00C4464F"/>
    <w:rsid w:val="00C447FB"/>
    <w:rsid w:val="00C44962"/>
    <w:rsid w:val="00C44ADA"/>
    <w:rsid w:val="00C45A9C"/>
    <w:rsid w:val="00C45B52"/>
    <w:rsid w:val="00C460F0"/>
    <w:rsid w:val="00C46253"/>
    <w:rsid w:val="00C46B53"/>
    <w:rsid w:val="00C46D92"/>
    <w:rsid w:val="00C470AA"/>
    <w:rsid w:val="00C47202"/>
    <w:rsid w:val="00C476F9"/>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568"/>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2027"/>
    <w:rsid w:val="00C62163"/>
    <w:rsid w:val="00C621EC"/>
    <w:rsid w:val="00C62271"/>
    <w:rsid w:val="00C62997"/>
    <w:rsid w:val="00C629E0"/>
    <w:rsid w:val="00C62BE7"/>
    <w:rsid w:val="00C62C31"/>
    <w:rsid w:val="00C633AB"/>
    <w:rsid w:val="00C6343A"/>
    <w:rsid w:val="00C63F3B"/>
    <w:rsid w:val="00C64376"/>
    <w:rsid w:val="00C64626"/>
    <w:rsid w:val="00C646FA"/>
    <w:rsid w:val="00C64849"/>
    <w:rsid w:val="00C64DBE"/>
    <w:rsid w:val="00C64EDC"/>
    <w:rsid w:val="00C658B2"/>
    <w:rsid w:val="00C65918"/>
    <w:rsid w:val="00C65D24"/>
    <w:rsid w:val="00C65F58"/>
    <w:rsid w:val="00C66571"/>
    <w:rsid w:val="00C666DB"/>
    <w:rsid w:val="00C667F6"/>
    <w:rsid w:val="00C66958"/>
    <w:rsid w:val="00C66B89"/>
    <w:rsid w:val="00C66C34"/>
    <w:rsid w:val="00C67231"/>
    <w:rsid w:val="00C67D1D"/>
    <w:rsid w:val="00C7040D"/>
    <w:rsid w:val="00C70B8C"/>
    <w:rsid w:val="00C71468"/>
    <w:rsid w:val="00C723AF"/>
    <w:rsid w:val="00C7251B"/>
    <w:rsid w:val="00C72EF5"/>
    <w:rsid w:val="00C73224"/>
    <w:rsid w:val="00C732C5"/>
    <w:rsid w:val="00C7357D"/>
    <w:rsid w:val="00C740FD"/>
    <w:rsid w:val="00C74157"/>
    <w:rsid w:val="00C7448E"/>
    <w:rsid w:val="00C748E2"/>
    <w:rsid w:val="00C75004"/>
    <w:rsid w:val="00C755E8"/>
    <w:rsid w:val="00C7576B"/>
    <w:rsid w:val="00C75970"/>
    <w:rsid w:val="00C75AC4"/>
    <w:rsid w:val="00C75B22"/>
    <w:rsid w:val="00C75C9D"/>
    <w:rsid w:val="00C75CD0"/>
    <w:rsid w:val="00C75EF9"/>
    <w:rsid w:val="00C75FA9"/>
    <w:rsid w:val="00C76816"/>
    <w:rsid w:val="00C76A56"/>
    <w:rsid w:val="00C76A6B"/>
    <w:rsid w:val="00C7731D"/>
    <w:rsid w:val="00C775EF"/>
    <w:rsid w:val="00C7799E"/>
    <w:rsid w:val="00C77DF7"/>
    <w:rsid w:val="00C77EFB"/>
    <w:rsid w:val="00C80547"/>
    <w:rsid w:val="00C80FD1"/>
    <w:rsid w:val="00C8198E"/>
    <w:rsid w:val="00C81B30"/>
    <w:rsid w:val="00C8203C"/>
    <w:rsid w:val="00C82387"/>
    <w:rsid w:val="00C83C4E"/>
    <w:rsid w:val="00C83E22"/>
    <w:rsid w:val="00C83F37"/>
    <w:rsid w:val="00C85253"/>
    <w:rsid w:val="00C8534D"/>
    <w:rsid w:val="00C85F32"/>
    <w:rsid w:val="00C8624E"/>
    <w:rsid w:val="00C86379"/>
    <w:rsid w:val="00C864DB"/>
    <w:rsid w:val="00C86544"/>
    <w:rsid w:val="00C86BDB"/>
    <w:rsid w:val="00C87014"/>
    <w:rsid w:val="00C87183"/>
    <w:rsid w:val="00C87304"/>
    <w:rsid w:val="00C8776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3AA2"/>
    <w:rsid w:val="00CA468E"/>
    <w:rsid w:val="00CA48F7"/>
    <w:rsid w:val="00CA4A3F"/>
    <w:rsid w:val="00CA4C14"/>
    <w:rsid w:val="00CA4FE7"/>
    <w:rsid w:val="00CA51A0"/>
    <w:rsid w:val="00CA572F"/>
    <w:rsid w:val="00CA58B2"/>
    <w:rsid w:val="00CA5EB2"/>
    <w:rsid w:val="00CA6121"/>
    <w:rsid w:val="00CA6164"/>
    <w:rsid w:val="00CA63C6"/>
    <w:rsid w:val="00CA6435"/>
    <w:rsid w:val="00CA657E"/>
    <w:rsid w:val="00CA73B2"/>
    <w:rsid w:val="00CA74E8"/>
    <w:rsid w:val="00CA765C"/>
    <w:rsid w:val="00CA7EE9"/>
    <w:rsid w:val="00CA7FA3"/>
    <w:rsid w:val="00CB016A"/>
    <w:rsid w:val="00CB047F"/>
    <w:rsid w:val="00CB0C2A"/>
    <w:rsid w:val="00CB11BD"/>
    <w:rsid w:val="00CB1368"/>
    <w:rsid w:val="00CB1F2A"/>
    <w:rsid w:val="00CB2836"/>
    <w:rsid w:val="00CB2AF6"/>
    <w:rsid w:val="00CB2F65"/>
    <w:rsid w:val="00CB480A"/>
    <w:rsid w:val="00CB4FA5"/>
    <w:rsid w:val="00CB5170"/>
    <w:rsid w:val="00CB558B"/>
    <w:rsid w:val="00CB58DD"/>
    <w:rsid w:val="00CB5A9F"/>
    <w:rsid w:val="00CB5EF8"/>
    <w:rsid w:val="00CB6343"/>
    <w:rsid w:val="00CB6590"/>
    <w:rsid w:val="00CB68B3"/>
    <w:rsid w:val="00CB68CD"/>
    <w:rsid w:val="00CB6C21"/>
    <w:rsid w:val="00CB6F9E"/>
    <w:rsid w:val="00CB7648"/>
    <w:rsid w:val="00CB77AE"/>
    <w:rsid w:val="00CB7B6B"/>
    <w:rsid w:val="00CC0006"/>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822"/>
    <w:rsid w:val="00CC3941"/>
    <w:rsid w:val="00CC3E8C"/>
    <w:rsid w:val="00CC4005"/>
    <w:rsid w:val="00CC400F"/>
    <w:rsid w:val="00CC4365"/>
    <w:rsid w:val="00CC4C5E"/>
    <w:rsid w:val="00CC4CCF"/>
    <w:rsid w:val="00CC4F58"/>
    <w:rsid w:val="00CC501E"/>
    <w:rsid w:val="00CC57AE"/>
    <w:rsid w:val="00CC5DD0"/>
    <w:rsid w:val="00CC606C"/>
    <w:rsid w:val="00CC61CE"/>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40"/>
    <w:rsid w:val="00CD0768"/>
    <w:rsid w:val="00CD0A59"/>
    <w:rsid w:val="00CD14CB"/>
    <w:rsid w:val="00CD1534"/>
    <w:rsid w:val="00CD179D"/>
    <w:rsid w:val="00CD1E6A"/>
    <w:rsid w:val="00CD1E74"/>
    <w:rsid w:val="00CD223B"/>
    <w:rsid w:val="00CD2483"/>
    <w:rsid w:val="00CD2585"/>
    <w:rsid w:val="00CD25A6"/>
    <w:rsid w:val="00CD2704"/>
    <w:rsid w:val="00CD283A"/>
    <w:rsid w:val="00CD2993"/>
    <w:rsid w:val="00CD2B04"/>
    <w:rsid w:val="00CD2C72"/>
    <w:rsid w:val="00CD309B"/>
    <w:rsid w:val="00CD3122"/>
    <w:rsid w:val="00CD325D"/>
    <w:rsid w:val="00CD325F"/>
    <w:rsid w:val="00CD3675"/>
    <w:rsid w:val="00CD3691"/>
    <w:rsid w:val="00CD3B2F"/>
    <w:rsid w:val="00CD3D0C"/>
    <w:rsid w:val="00CD3E10"/>
    <w:rsid w:val="00CD3F09"/>
    <w:rsid w:val="00CD3FAF"/>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267"/>
    <w:rsid w:val="00CE37BB"/>
    <w:rsid w:val="00CE3B10"/>
    <w:rsid w:val="00CE4FAE"/>
    <w:rsid w:val="00CE5180"/>
    <w:rsid w:val="00CE5594"/>
    <w:rsid w:val="00CE56E1"/>
    <w:rsid w:val="00CE5A7E"/>
    <w:rsid w:val="00CE5E50"/>
    <w:rsid w:val="00CE5FE5"/>
    <w:rsid w:val="00CE697C"/>
    <w:rsid w:val="00CE69F3"/>
    <w:rsid w:val="00CE6AD5"/>
    <w:rsid w:val="00CE6E24"/>
    <w:rsid w:val="00CE76BD"/>
    <w:rsid w:val="00CE79BC"/>
    <w:rsid w:val="00CE7A06"/>
    <w:rsid w:val="00CE7E65"/>
    <w:rsid w:val="00CF02AC"/>
    <w:rsid w:val="00CF057C"/>
    <w:rsid w:val="00CF06E6"/>
    <w:rsid w:val="00CF14C3"/>
    <w:rsid w:val="00CF170A"/>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CCF"/>
    <w:rsid w:val="00CF7FC8"/>
    <w:rsid w:val="00D00419"/>
    <w:rsid w:val="00D00522"/>
    <w:rsid w:val="00D00B22"/>
    <w:rsid w:val="00D011DE"/>
    <w:rsid w:val="00D017EE"/>
    <w:rsid w:val="00D0182B"/>
    <w:rsid w:val="00D0186E"/>
    <w:rsid w:val="00D01C73"/>
    <w:rsid w:val="00D01E6B"/>
    <w:rsid w:val="00D02369"/>
    <w:rsid w:val="00D02C36"/>
    <w:rsid w:val="00D02E17"/>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440"/>
    <w:rsid w:val="00D12487"/>
    <w:rsid w:val="00D126E6"/>
    <w:rsid w:val="00D12B75"/>
    <w:rsid w:val="00D12CF8"/>
    <w:rsid w:val="00D12E9B"/>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C4"/>
    <w:rsid w:val="00D16BA8"/>
    <w:rsid w:val="00D16C64"/>
    <w:rsid w:val="00D174E5"/>
    <w:rsid w:val="00D17F37"/>
    <w:rsid w:val="00D20171"/>
    <w:rsid w:val="00D202D3"/>
    <w:rsid w:val="00D20420"/>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92C"/>
    <w:rsid w:val="00D26199"/>
    <w:rsid w:val="00D261FB"/>
    <w:rsid w:val="00D26283"/>
    <w:rsid w:val="00D263B5"/>
    <w:rsid w:val="00D26586"/>
    <w:rsid w:val="00D268F4"/>
    <w:rsid w:val="00D269DE"/>
    <w:rsid w:val="00D26DBE"/>
    <w:rsid w:val="00D2706E"/>
    <w:rsid w:val="00D27124"/>
    <w:rsid w:val="00D27808"/>
    <w:rsid w:val="00D27DF2"/>
    <w:rsid w:val="00D27F01"/>
    <w:rsid w:val="00D30B60"/>
    <w:rsid w:val="00D30C46"/>
    <w:rsid w:val="00D30F15"/>
    <w:rsid w:val="00D30FC7"/>
    <w:rsid w:val="00D31B9F"/>
    <w:rsid w:val="00D31BEA"/>
    <w:rsid w:val="00D32120"/>
    <w:rsid w:val="00D32446"/>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B62"/>
    <w:rsid w:val="00D351E7"/>
    <w:rsid w:val="00D353FF"/>
    <w:rsid w:val="00D35BE8"/>
    <w:rsid w:val="00D3609F"/>
    <w:rsid w:val="00D3610A"/>
    <w:rsid w:val="00D3646C"/>
    <w:rsid w:val="00D3668C"/>
    <w:rsid w:val="00D366E7"/>
    <w:rsid w:val="00D366ED"/>
    <w:rsid w:val="00D369EA"/>
    <w:rsid w:val="00D36C8E"/>
    <w:rsid w:val="00D36ED5"/>
    <w:rsid w:val="00D37C2D"/>
    <w:rsid w:val="00D37DFC"/>
    <w:rsid w:val="00D37EA0"/>
    <w:rsid w:val="00D40274"/>
    <w:rsid w:val="00D403D9"/>
    <w:rsid w:val="00D404CE"/>
    <w:rsid w:val="00D40E25"/>
    <w:rsid w:val="00D40E78"/>
    <w:rsid w:val="00D41009"/>
    <w:rsid w:val="00D41031"/>
    <w:rsid w:val="00D41901"/>
    <w:rsid w:val="00D41BD5"/>
    <w:rsid w:val="00D41CD0"/>
    <w:rsid w:val="00D420DA"/>
    <w:rsid w:val="00D421D9"/>
    <w:rsid w:val="00D422E4"/>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0A8"/>
    <w:rsid w:val="00D5342F"/>
    <w:rsid w:val="00D53539"/>
    <w:rsid w:val="00D53768"/>
    <w:rsid w:val="00D53C63"/>
    <w:rsid w:val="00D54613"/>
    <w:rsid w:val="00D54B87"/>
    <w:rsid w:val="00D54C59"/>
    <w:rsid w:val="00D54D88"/>
    <w:rsid w:val="00D55115"/>
    <w:rsid w:val="00D5521C"/>
    <w:rsid w:val="00D552BA"/>
    <w:rsid w:val="00D554E6"/>
    <w:rsid w:val="00D55723"/>
    <w:rsid w:val="00D55AF5"/>
    <w:rsid w:val="00D55B68"/>
    <w:rsid w:val="00D55C37"/>
    <w:rsid w:val="00D55E77"/>
    <w:rsid w:val="00D56330"/>
    <w:rsid w:val="00D563C2"/>
    <w:rsid w:val="00D56450"/>
    <w:rsid w:val="00D56544"/>
    <w:rsid w:val="00D56561"/>
    <w:rsid w:val="00D56C31"/>
    <w:rsid w:val="00D56D65"/>
    <w:rsid w:val="00D56E86"/>
    <w:rsid w:val="00D572B2"/>
    <w:rsid w:val="00D578C5"/>
    <w:rsid w:val="00D57927"/>
    <w:rsid w:val="00D57C20"/>
    <w:rsid w:val="00D57F0A"/>
    <w:rsid w:val="00D600BE"/>
    <w:rsid w:val="00D60207"/>
    <w:rsid w:val="00D60BCB"/>
    <w:rsid w:val="00D60CB2"/>
    <w:rsid w:val="00D60DD4"/>
    <w:rsid w:val="00D610A5"/>
    <w:rsid w:val="00D6154D"/>
    <w:rsid w:val="00D6157E"/>
    <w:rsid w:val="00D61834"/>
    <w:rsid w:val="00D61C1E"/>
    <w:rsid w:val="00D620D9"/>
    <w:rsid w:val="00D62141"/>
    <w:rsid w:val="00D62243"/>
    <w:rsid w:val="00D62334"/>
    <w:rsid w:val="00D6278F"/>
    <w:rsid w:val="00D62949"/>
    <w:rsid w:val="00D62C7C"/>
    <w:rsid w:val="00D62DEC"/>
    <w:rsid w:val="00D63BAD"/>
    <w:rsid w:val="00D63C5F"/>
    <w:rsid w:val="00D640A3"/>
    <w:rsid w:val="00D6410E"/>
    <w:rsid w:val="00D64176"/>
    <w:rsid w:val="00D64280"/>
    <w:rsid w:val="00D642FA"/>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DDA"/>
    <w:rsid w:val="00D76E83"/>
    <w:rsid w:val="00D771C9"/>
    <w:rsid w:val="00D776BC"/>
    <w:rsid w:val="00D776EF"/>
    <w:rsid w:val="00D778C8"/>
    <w:rsid w:val="00D77B6A"/>
    <w:rsid w:val="00D77C05"/>
    <w:rsid w:val="00D800A1"/>
    <w:rsid w:val="00D801DE"/>
    <w:rsid w:val="00D8036A"/>
    <w:rsid w:val="00D80AB8"/>
    <w:rsid w:val="00D80C93"/>
    <w:rsid w:val="00D80CCB"/>
    <w:rsid w:val="00D812D3"/>
    <w:rsid w:val="00D81307"/>
    <w:rsid w:val="00D8150F"/>
    <w:rsid w:val="00D817FD"/>
    <w:rsid w:val="00D81AF1"/>
    <w:rsid w:val="00D81E9C"/>
    <w:rsid w:val="00D820F3"/>
    <w:rsid w:val="00D829AC"/>
    <w:rsid w:val="00D83401"/>
    <w:rsid w:val="00D838CD"/>
    <w:rsid w:val="00D83B14"/>
    <w:rsid w:val="00D83EE4"/>
    <w:rsid w:val="00D83F5B"/>
    <w:rsid w:val="00D84268"/>
    <w:rsid w:val="00D84464"/>
    <w:rsid w:val="00D846C5"/>
    <w:rsid w:val="00D84BF5"/>
    <w:rsid w:val="00D84C06"/>
    <w:rsid w:val="00D84F0F"/>
    <w:rsid w:val="00D853C3"/>
    <w:rsid w:val="00D8588D"/>
    <w:rsid w:val="00D85C44"/>
    <w:rsid w:val="00D86343"/>
    <w:rsid w:val="00D86B37"/>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8A0"/>
    <w:rsid w:val="00D94BA1"/>
    <w:rsid w:val="00D94BB0"/>
    <w:rsid w:val="00D94FF3"/>
    <w:rsid w:val="00D957C0"/>
    <w:rsid w:val="00D95979"/>
    <w:rsid w:val="00D95BF0"/>
    <w:rsid w:val="00D95BFF"/>
    <w:rsid w:val="00D95F44"/>
    <w:rsid w:val="00D9619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6A4"/>
    <w:rsid w:val="00DA59A6"/>
    <w:rsid w:val="00DA5A53"/>
    <w:rsid w:val="00DA5CA9"/>
    <w:rsid w:val="00DA5E7E"/>
    <w:rsid w:val="00DA5EB0"/>
    <w:rsid w:val="00DA64EB"/>
    <w:rsid w:val="00DA714A"/>
    <w:rsid w:val="00DA71AF"/>
    <w:rsid w:val="00DA727D"/>
    <w:rsid w:val="00DA7765"/>
    <w:rsid w:val="00DA7A85"/>
    <w:rsid w:val="00DA7AD2"/>
    <w:rsid w:val="00DA7BC7"/>
    <w:rsid w:val="00DA7E4C"/>
    <w:rsid w:val="00DA7E98"/>
    <w:rsid w:val="00DB0487"/>
    <w:rsid w:val="00DB0564"/>
    <w:rsid w:val="00DB05C8"/>
    <w:rsid w:val="00DB081D"/>
    <w:rsid w:val="00DB0F48"/>
    <w:rsid w:val="00DB1083"/>
    <w:rsid w:val="00DB1239"/>
    <w:rsid w:val="00DB1312"/>
    <w:rsid w:val="00DB1539"/>
    <w:rsid w:val="00DB1657"/>
    <w:rsid w:val="00DB1F98"/>
    <w:rsid w:val="00DB2551"/>
    <w:rsid w:val="00DB2706"/>
    <w:rsid w:val="00DB286C"/>
    <w:rsid w:val="00DB2DC2"/>
    <w:rsid w:val="00DB3560"/>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49B"/>
    <w:rsid w:val="00DC0534"/>
    <w:rsid w:val="00DC0715"/>
    <w:rsid w:val="00DC0856"/>
    <w:rsid w:val="00DC0E5C"/>
    <w:rsid w:val="00DC0F93"/>
    <w:rsid w:val="00DC12FB"/>
    <w:rsid w:val="00DC1384"/>
    <w:rsid w:val="00DC13D4"/>
    <w:rsid w:val="00DC1479"/>
    <w:rsid w:val="00DC1624"/>
    <w:rsid w:val="00DC1763"/>
    <w:rsid w:val="00DC1D22"/>
    <w:rsid w:val="00DC2188"/>
    <w:rsid w:val="00DC22B7"/>
    <w:rsid w:val="00DC257F"/>
    <w:rsid w:val="00DC2898"/>
    <w:rsid w:val="00DC28A6"/>
    <w:rsid w:val="00DC28EC"/>
    <w:rsid w:val="00DC392F"/>
    <w:rsid w:val="00DC39A3"/>
    <w:rsid w:val="00DC3B0D"/>
    <w:rsid w:val="00DC3C8A"/>
    <w:rsid w:val="00DC3E1F"/>
    <w:rsid w:val="00DC452B"/>
    <w:rsid w:val="00DC4B72"/>
    <w:rsid w:val="00DC4CCD"/>
    <w:rsid w:val="00DC4D82"/>
    <w:rsid w:val="00DC4E9C"/>
    <w:rsid w:val="00DC522A"/>
    <w:rsid w:val="00DC522F"/>
    <w:rsid w:val="00DC574D"/>
    <w:rsid w:val="00DC588E"/>
    <w:rsid w:val="00DC5E66"/>
    <w:rsid w:val="00DC6419"/>
    <w:rsid w:val="00DC65D8"/>
    <w:rsid w:val="00DC6A90"/>
    <w:rsid w:val="00DC6A94"/>
    <w:rsid w:val="00DC6B82"/>
    <w:rsid w:val="00DC7073"/>
    <w:rsid w:val="00DC765F"/>
    <w:rsid w:val="00DC7722"/>
    <w:rsid w:val="00DC7890"/>
    <w:rsid w:val="00DC7E92"/>
    <w:rsid w:val="00DD01A3"/>
    <w:rsid w:val="00DD02C4"/>
    <w:rsid w:val="00DD0877"/>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7004"/>
    <w:rsid w:val="00DD7153"/>
    <w:rsid w:val="00DD761C"/>
    <w:rsid w:val="00DD76AF"/>
    <w:rsid w:val="00DD7B13"/>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824"/>
    <w:rsid w:val="00DF7226"/>
    <w:rsid w:val="00DF7644"/>
    <w:rsid w:val="00DF7C0A"/>
    <w:rsid w:val="00E00018"/>
    <w:rsid w:val="00E004D1"/>
    <w:rsid w:val="00E008F1"/>
    <w:rsid w:val="00E00A07"/>
    <w:rsid w:val="00E00A87"/>
    <w:rsid w:val="00E00EFF"/>
    <w:rsid w:val="00E019EA"/>
    <w:rsid w:val="00E01D33"/>
    <w:rsid w:val="00E0243C"/>
    <w:rsid w:val="00E028E6"/>
    <w:rsid w:val="00E02C20"/>
    <w:rsid w:val="00E03016"/>
    <w:rsid w:val="00E032C1"/>
    <w:rsid w:val="00E039C0"/>
    <w:rsid w:val="00E0459E"/>
    <w:rsid w:val="00E046C1"/>
    <w:rsid w:val="00E0472C"/>
    <w:rsid w:val="00E047AB"/>
    <w:rsid w:val="00E047FA"/>
    <w:rsid w:val="00E049EC"/>
    <w:rsid w:val="00E04EE6"/>
    <w:rsid w:val="00E04FFA"/>
    <w:rsid w:val="00E05A43"/>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0CDA"/>
    <w:rsid w:val="00E11DCD"/>
    <w:rsid w:val="00E11EB8"/>
    <w:rsid w:val="00E11FDD"/>
    <w:rsid w:val="00E125EE"/>
    <w:rsid w:val="00E12775"/>
    <w:rsid w:val="00E12A5A"/>
    <w:rsid w:val="00E12DAD"/>
    <w:rsid w:val="00E136AE"/>
    <w:rsid w:val="00E136E0"/>
    <w:rsid w:val="00E139D0"/>
    <w:rsid w:val="00E13AA4"/>
    <w:rsid w:val="00E14366"/>
    <w:rsid w:val="00E143F1"/>
    <w:rsid w:val="00E145E0"/>
    <w:rsid w:val="00E14913"/>
    <w:rsid w:val="00E150B1"/>
    <w:rsid w:val="00E15352"/>
    <w:rsid w:val="00E154A1"/>
    <w:rsid w:val="00E15B4D"/>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7E4"/>
    <w:rsid w:val="00E23851"/>
    <w:rsid w:val="00E23ACC"/>
    <w:rsid w:val="00E23ADB"/>
    <w:rsid w:val="00E2446F"/>
    <w:rsid w:val="00E250DB"/>
    <w:rsid w:val="00E259BD"/>
    <w:rsid w:val="00E25F49"/>
    <w:rsid w:val="00E2617B"/>
    <w:rsid w:val="00E26295"/>
    <w:rsid w:val="00E264F5"/>
    <w:rsid w:val="00E268FA"/>
    <w:rsid w:val="00E2690E"/>
    <w:rsid w:val="00E26EEC"/>
    <w:rsid w:val="00E272FE"/>
    <w:rsid w:val="00E27AA2"/>
    <w:rsid w:val="00E27D44"/>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6D6"/>
    <w:rsid w:val="00E41A3E"/>
    <w:rsid w:val="00E41D2F"/>
    <w:rsid w:val="00E41DE5"/>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4D33"/>
    <w:rsid w:val="00E55AEB"/>
    <w:rsid w:val="00E55CD3"/>
    <w:rsid w:val="00E56E29"/>
    <w:rsid w:val="00E5711F"/>
    <w:rsid w:val="00E572CE"/>
    <w:rsid w:val="00E5765B"/>
    <w:rsid w:val="00E57A3C"/>
    <w:rsid w:val="00E57B43"/>
    <w:rsid w:val="00E6000E"/>
    <w:rsid w:val="00E602C9"/>
    <w:rsid w:val="00E6043C"/>
    <w:rsid w:val="00E604AF"/>
    <w:rsid w:val="00E60578"/>
    <w:rsid w:val="00E60774"/>
    <w:rsid w:val="00E608B7"/>
    <w:rsid w:val="00E60D6F"/>
    <w:rsid w:val="00E60F80"/>
    <w:rsid w:val="00E6190A"/>
    <w:rsid w:val="00E61DAC"/>
    <w:rsid w:val="00E624DA"/>
    <w:rsid w:val="00E6275D"/>
    <w:rsid w:val="00E629F9"/>
    <w:rsid w:val="00E62A6C"/>
    <w:rsid w:val="00E62AF2"/>
    <w:rsid w:val="00E62B5D"/>
    <w:rsid w:val="00E62D6E"/>
    <w:rsid w:val="00E6306D"/>
    <w:rsid w:val="00E630F7"/>
    <w:rsid w:val="00E632B7"/>
    <w:rsid w:val="00E639CE"/>
    <w:rsid w:val="00E63AF2"/>
    <w:rsid w:val="00E63DE2"/>
    <w:rsid w:val="00E6412A"/>
    <w:rsid w:val="00E64286"/>
    <w:rsid w:val="00E64763"/>
    <w:rsid w:val="00E64C11"/>
    <w:rsid w:val="00E64CDD"/>
    <w:rsid w:val="00E65E6B"/>
    <w:rsid w:val="00E6640D"/>
    <w:rsid w:val="00E6682F"/>
    <w:rsid w:val="00E701D0"/>
    <w:rsid w:val="00E705E5"/>
    <w:rsid w:val="00E70B0C"/>
    <w:rsid w:val="00E71DF1"/>
    <w:rsid w:val="00E722EF"/>
    <w:rsid w:val="00E723D3"/>
    <w:rsid w:val="00E7242A"/>
    <w:rsid w:val="00E7245A"/>
    <w:rsid w:val="00E72ABE"/>
    <w:rsid w:val="00E72BCC"/>
    <w:rsid w:val="00E73065"/>
    <w:rsid w:val="00E7306F"/>
    <w:rsid w:val="00E73697"/>
    <w:rsid w:val="00E73E01"/>
    <w:rsid w:val="00E74038"/>
    <w:rsid w:val="00E7476B"/>
    <w:rsid w:val="00E74844"/>
    <w:rsid w:val="00E749A0"/>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3D4"/>
    <w:rsid w:val="00E7780B"/>
    <w:rsid w:val="00E7797B"/>
    <w:rsid w:val="00E77C66"/>
    <w:rsid w:val="00E77E91"/>
    <w:rsid w:val="00E8016D"/>
    <w:rsid w:val="00E80487"/>
    <w:rsid w:val="00E806D2"/>
    <w:rsid w:val="00E80B75"/>
    <w:rsid w:val="00E810EC"/>
    <w:rsid w:val="00E8117B"/>
    <w:rsid w:val="00E81490"/>
    <w:rsid w:val="00E81F9F"/>
    <w:rsid w:val="00E81FFC"/>
    <w:rsid w:val="00E826C8"/>
    <w:rsid w:val="00E828DA"/>
    <w:rsid w:val="00E82B9F"/>
    <w:rsid w:val="00E82DB1"/>
    <w:rsid w:val="00E83280"/>
    <w:rsid w:val="00E832C9"/>
    <w:rsid w:val="00E83469"/>
    <w:rsid w:val="00E83587"/>
    <w:rsid w:val="00E83E6E"/>
    <w:rsid w:val="00E83EE9"/>
    <w:rsid w:val="00E843C5"/>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F08"/>
    <w:rsid w:val="00E913F0"/>
    <w:rsid w:val="00E91514"/>
    <w:rsid w:val="00E915E1"/>
    <w:rsid w:val="00E919F0"/>
    <w:rsid w:val="00E91A48"/>
    <w:rsid w:val="00E91BF2"/>
    <w:rsid w:val="00E91DDE"/>
    <w:rsid w:val="00E91E61"/>
    <w:rsid w:val="00E91EFC"/>
    <w:rsid w:val="00E92054"/>
    <w:rsid w:val="00E920B8"/>
    <w:rsid w:val="00E9232D"/>
    <w:rsid w:val="00E9239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F5"/>
    <w:rsid w:val="00E95754"/>
    <w:rsid w:val="00E95859"/>
    <w:rsid w:val="00E95B52"/>
    <w:rsid w:val="00E95D01"/>
    <w:rsid w:val="00E9627E"/>
    <w:rsid w:val="00E963F1"/>
    <w:rsid w:val="00E9694A"/>
    <w:rsid w:val="00E96B89"/>
    <w:rsid w:val="00E96C84"/>
    <w:rsid w:val="00E96EB3"/>
    <w:rsid w:val="00E96FBC"/>
    <w:rsid w:val="00E9738B"/>
    <w:rsid w:val="00E97507"/>
    <w:rsid w:val="00EA0281"/>
    <w:rsid w:val="00EA04AD"/>
    <w:rsid w:val="00EA0BD3"/>
    <w:rsid w:val="00EA0BFA"/>
    <w:rsid w:val="00EA0E04"/>
    <w:rsid w:val="00EA0E05"/>
    <w:rsid w:val="00EA0E10"/>
    <w:rsid w:val="00EA10A2"/>
    <w:rsid w:val="00EA1B4A"/>
    <w:rsid w:val="00EA1E52"/>
    <w:rsid w:val="00EA1F8B"/>
    <w:rsid w:val="00EA2271"/>
    <w:rsid w:val="00EA22E2"/>
    <w:rsid w:val="00EA23B9"/>
    <w:rsid w:val="00EA2730"/>
    <w:rsid w:val="00EA300C"/>
    <w:rsid w:val="00EA32DE"/>
    <w:rsid w:val="00EA3601"/>
    <w:rsid w:val="00EA3D67"/>
    <w:rsid w:val="00EA3DB9"/>
    <w:rsid w:val="00EA475F"/>
    <w:rsid w:val="00EA4877"/>
    <w:rsid w:val="00EA4AC2"/>
    <w:rsid w:val="00EA4E08"/>
    <w:rsid w:val="00EA5029"/>
    <w:rsid w:val="00EA530D"/>
    <w:rsid w:val="00EA5335"/>
    <w:rsid w:val="00EA6039"/>
    <w:rsid w:val="00EA6506"/>
    <w:rsid w:val="00EA7051"/>
    <w:rsid w:val="00EA708C"/>
    <w:rsid w:val="00EA7A7E"/>
    <w:rsid w:val="00EA7AF2"/>
    <w:rsid w:val="00EA7C2F"/>
    <w:rsid w:val="00EA7CE6"/>
    <w:rsid w:val="00EA7D7F"/>
    <w:rsid w:val="00EA7E15"/>
    <w:rsid w:val="00EA7E9E"/>
    <w:rsid w:val="00EA7EF5"/>
    <w:rsid w:val="00EA7F1F"/>
    <w:rsid w:val="00EA7F74"/>
    <w:rsid w:val="00EB0073"/>
    <w:rsid w:val="00EB05DC"/>
    <w:rsid w:val="00EB061D"/>
    <w:rsid w:val="00EB077E"/>
    <w:rsid w:val="00EB16A8"/>
    <w:rsid w:val="00EB1705"/>
    <w:rsid w:val="00EB185C"/>
    <w:rsid w:val="00EB1AD4"/>
    <w:rsid w:val="00EB2435"/>
    <w:rsid w:val="00EB269A"/>
    <w:rsid w:val="00EB2B2A"/>
    <w:rsid w:val="00EB338E"/>
    <w:rsid w:val="00EB3495"/>
    <w:rsid w:val="00EB35D4"/>
    <w:rsid w:val="00EB3619"/>
    <w:rsid w:val="00EB3953"/>
    <w:rsid w:val="00EB3AAB"/>
    <w:rsid w:val="00EB3CE0"/>
    <w:rsid w:val="00EB3DB0"/>
    <w:rsid w:val="00EB4042"/>
    <w:rsid w:val="00EB410B"/>
    <w:rsid w:val="00EB4155"/>
    <w:rsid w:val="00EB42C8"/>
    <w:rsid w:val="00EB49D5"/>
    <w:rsid w:val="00EB4A13"/>
    <w:rsid w:val="00EB52C5"/>
    <w:rsid w:val="00EB534C"/>
    <w:rsid w:val="00EB55D2"/>
    <w:rsid w:val="00EB57E7"/>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0BB"/>
    <w:rsid w:val="00EC117E"/>
    <w:rsid w:val="00EC183D"/>
    <w:rsid w:val="00EC1B6D"/>
    <w:rsid w:val="00EC1D83"/>
    <w:rsid w:val="00EC1E45"/>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C7FB8"/>
    <w:rsid w:val="00ED022F"/>
    <w:rsid w:val="00ED0D29"/>
    <w:rsid w:val="00ED0DE8"/>
    <w:rsid w:val="00ED0EB9"/>
    <w:rsid w:val="00ED1447"/>
    <w:rsid w:val="00ED159D"/>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461E"/>
    <w:rsid w:val="00ED5122"/>
    <w:rsid w:val="00ED54F7"/>
    <w:rsid w:val="00ED58F2"/>
    <w:rsid w:val="00ED6621"/>
    <w:rsid w:val="00EE08BC"/>
    <w:rsid w:val="00EE09EA"/>
    <w:rsid w:val="00EE0A49"/>
    <w:rsid w:val="00EE0E09"/>
    <w:rsid w:val="00EE0EF9"/>
    <w:rsid w:val="00EE12DA"/>
    <w:rsid w:val="00EE14B3"/>
    <w:rsid w:val="00EE15CA"/>
    <w:rsid w:val="00EE18BB"/>
    <w:rsid w:val="00EE1CDA"/>
    <w:rsid w:val="00EE1F5D"/>
    <w:rsid w:val="00EE2255"/>
    <w:rsid w:val="00EE23E0"/>
    <w:rsid w:val="00EE24B7"/>
    <w:rsid w:val="00EE2AAB"/>
    <w:rsid w:val="00EE2F97"/>
    <w:rsid w:val="00EE3203"/>
    <w:rsid w:val="00EE33A6"/>
    <w:rsid w:val="00EE375F"/>
    <w:rsid w:val="00EE3DCB"/>
    <w:rsid w:val="00EE43C7"/>
    <w:rsid w:val="00EE496C"/>
    <w:rsid w:val="00EE4B9E"/>
    <w:rsid w:val="00EE4E3B"/>
    <w:rsid w:val="00EE5112"/>
    <w:rsid w:val="00EE62B4"/>
    <w:rsid w:val="00EE636D"/>
    <w:rsid w:val="00EE66B1"/>
    <w:rsid w:val="00EE6CC0"/>
    <w:rsid w:val="00EE732F"/>
    <w:rsid w:val="00EE75D6"/>
    <w:rsid w:val="00EE7D91"/>
    <w:rsid w:val="00EE7ECE"/>
    <w:rsid w:val="00EF0225"/>
    <w:rsid w:val="00EF05A6"/>
    <w:rsid w:val="00EF082A"/>
    <w:rsid w:val="00EF0E50"/>
    <w:rsid w:val="00EF118F"/>
    <w:rsid w:val="00EF1287"/>
    <w:rsid w:val="00EF1333"/>
    <w:rsid w:val="00EF1668"/>
    <w:rsid w:val="00EF1AEC"/>
    <w:rsid w:val="00EF1B8F"/>
    <w:rsid w:val="00EF20FD"/>
    <w:rsid w:val="00EF2746"/>
    <w:rsid w:val="00EF2786"/>
    <w:rsid w:val="00EF2A1F"/>
    <w:rsid w:val="00EF2C3D"/>
    <w:rsid w:val="00EF34CD"/>
    <w:rsid w:val="00EF386B"/>
    <w:rsid w:val="00EF3A28"/>
    <w:rsid w:val="00EF3A3D"/>
    <w:rsid w:val="00EF3A4A"/>
    <w:rsid w:val="00EF3D43"/>
    <w:rsid w:val="00EF447D"/>
    <w:rsid w:val="00EF493B"/>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497"/>
    <w:rsid w:val="00F005AF"/>
    <w:rsid w:val="00F006E4"/>
    <w:rsid w:val="00F00923"/>
    <w:rsid w:val="00F00C9D"/>
    <w:rsid w:val="00F01165"/>
    <w:rsid w:val="00F01484"/>
    <w:rsid w:val="00F017CB"/>
    <w:rsid w:val="00F0188E"/>
    <w:rsid w:val="00F0197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C98"/>
    <w:rsid w:val="00F04D51"/>
    <w:rsid w:val="00F04F3E"/>
    <w:rsid w:val="00F0522E"/>
    <w:rsid w:val="00F05A49"/>
    <w:rsid w:val="00F05C50"/>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EE4"/>
    <w:rsid w:val="00F30FF2"/>
    <w:rsid w:val="00F31375"/>
    <w:rsid w:val="00F316ED"/>
    <w:rsid w:val="00F318E7"/>
    <w:rsid w:val="00F31F17"/>
    <w:rsid w:val="00F3236F"/>
    <w:rsid w:val="00F32374"/>
    <w:rsid w:val="00F325FB"/>
    <w:rsid w:val="00F32F0E"/>
    <w:rsid w:val="00F32F3E"/>
    <w:rsid w:val="00F3372E"/>
    <w:rsid w:val="00F3383E"/>
    <w:rsid w:val="00F34057"/>
    <w:rsid w:val="00F34286"/>
    <w:rsid w:val="00F342E5"/>
    <w:rsid w:val="00F346BC"/>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37BDD"/>
    <w:rsid w:val="00F408DF"/>
    <w:rsid w:val="00F40CD5"/>
    <w:rsid w:val="00F4125D"/>
    <w:rsid w:val="00F417B8"/>
    <w:rsid w:val="00F4262F"/>
    <w:rsid w:val="00F42910"/>
    <w:rsid w:val="00F42A4D"/>
    <w:rsid w:val="00F42BEE"/>
    <w:rsid w:val="00F42C2B"/>
    <w:rsid w:val="00F439C5"/>
    <w:rsid w:val="00F43EB5"/>
    <w:rsid w:val="00F4402C"/>
    <w:rsid w:val="00F44175"/>
    <w:rsid w:val="00F4449D"/>
    <w:rsid w:val="00F44833"/>
    <w:rsid w:val="00F44E03"/>
    <w:rsid w:val="00F45FA3"/>
    <w:rsid w:val="00F4629D"/>
    <w:rsid w:val="00F462EB"/>
    <w:rsid w:val="00F465C1"/>
    <w:rsid w:val="00F4678D"/>
    <w:rsid w:val="00F467B0"/>
    <w:rsid w:val="00F46B49"/>
    <w:rsid w:val="00F46C9F"/>
    <w:rsid w:val="00F46E40"/>
    <w:rsid w:val="00F46F8B"/>
    <w:rsid w:val="00F47132"/>
    <w:rsid w:val="00F47728"/>
    <w:rsid w:val="00F4776E"/>
    <w:rsid w:val="00F47AFE"/>
    <w:rsid w:val="00F47CBA"/>
    <w:rsid w:val="00F50020"/>
    <w:rsid w:val="00F50671"/>
    <w:rsid w:val="00F50691"/>
    <w:rsid w:val="00F50849"/>
    <w:rsid w:val="00F5115A"/>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D79"/>
    <w:rsid w:val="00F6404E"/>
    <w:rsid w:val="00F6433C"/>
    <w:rsid w:val="00F6460D"/>
    <w:rsid w:val="00F6474A"/>
    <w:rsid w:val="00F64966"/>
    <w:rsid w:val="00F64F9F"/>
    <w:rsid w:val="00F660B8"/>
    <w:rsid w:val="00F664C3"/>
    <w:rsid w:val="00F664DA"/>
    <w:rsid w:val="00F669E3"/>
    <w:rsid w:val="00F675DD"/>
    <w:rsid w:val="00F67988"/>
    <w:rsid w:val="00F67A85"/>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6337"/>
    <w:rsid w:val="00F763DF"/>
    <w:rsid w:val="00F766F0"/>
    <w:rsid w:val="00F76B74"/>
    <w:rsid w:val="00F7746B"/>
    <w:rsid w:val="00F7792A"/>
    <w:rsid w:val="00F77C47"/>
    <w:rsid w:val="00F77CFA"/>
    <w:rsid w:val="00F80957"/>
    <w:rsid w:val="00F80D8F"/>
    <w:rsid w:val="00F81311"/>
    <w:rsid w:val="00F813BB"/>
    <w:rsid w:val="00F81507"/>
    <w:rsid w:val="00F81625"/>
    <w:rsid w:val="00F81C47"/>
    <w:rsid w:val="00F81D8F"/>
    <w:rsid w:val="00F81E0E"/>
    <w:rsid w:val="00F81E87"/>
    <w:rsid w:val="00F81F25"/>
    <w:rsid w:val="00F81F57"/>
    <w:rsid w:val="00F8222F"/>
    <w:rsid w:val="00F82682"/>
    <w:rsid w:val="00F8270B"/>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AF6"/>
    <w:rsid w:val="00F85C4A"/>
    <w:rsid w:val="00F85F4B"/>
    <w:rsid w:val="00F85F9B"/>
    <w:rsid w:val="00F863EB"/>
    <w:rsid w:val="00F86538"/>
    <w:rsid w:val="00F866E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CA2"/>
    <w:rsid w:val="00F91DAB"/>
    <w:rsid w:val="00F91DAC"/>
    <w:rsid w:val="00F91FBE"/>
    <w:rsid w:val="00F92174"/>
    <w:rsid w:val="00F923DB"/>
    <w:rsid w:val="00F92725"/>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F50"/>
    <w:rsid w:val="00F95013"/>
    <w:rsid w:val="00F950BC"/>
    <w:rsid w:val="00F951BD"/>
    <w:rsid w:val="00F958CD"/>
    <w:rsid w:val="00F95EF0"/>
    <w:rsid w:val="00F9632D"/>
    <w:rsid w:val="00F9644F"/>
    <w:rsid w:val="00F965D9"/>
    <w:rsid w:val="00F968CC"/>
    <w:rsid w:val="00F96C7A"/>
    <w:rsid w:val="00F96E7C"/>
    <w:rsid w:val="00F975B5"/>
    <w:rsid w:val="00F97DEE"/>
    <w:rsid w:val="00FA04BE"/>
    <w:rsid w:val="00FA0509"/>
    <w:rsid w:val="00FA0E7C"/>
    <w:rsid w:val="00FA1177"/>
    <w:rsid w:val="00FA15C6"/>
    <w:rsid w:val="00FA1CBF"/>
    <w:rsid w:val="00FA1D8F"/>
    <w:rsid w:val="00FA2002"/>
    <w:rsid w:val="00FA2526"/>
    <w:rsid w:val="00FA2AB0"/>
    <w:rsid w:val="00FA357A"/>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B9F"/>
    <w:rsid w:val="00FB0E3B"/>
    <w:rsid w:val="00FB114F"/>
    <w:rsid w:val="00FB11A4"/>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7A7"/>
    <w:rsid w:val="00FB5A6F"/>
    <w:rsid w:val="00FB6401"/>
    <w:rsid w:val="00FB68CE"/>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42"/>
    <w:rsid w:val="00FC27DB"/>
    <w:rsid w:val="00FC330F"/>
    <w:rsid w:val="00FC37F0"/>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0936"/>
    <w:rsid w:val="00FD0CF6"/>
    <w:rsid w:val="00FD10D2"/>
    <w:rsid w:val="00FD111E"/>
    <w:rsid w:val="00FD14E4"/>
    <w:rsid w:val="00FD1748"/>
    <w:rsid w:val="00FD250B"/>
    <w:rsid w:val="00FD2804"/>
    <w:rsid w:val="00FD282A"/>
    <w:rsid w:val="00FD2A71"/>
    <w:rsid w:val="00FD2F55"/>
    <w:rsid w:val="00FD305B"/>
    <w:rsid w:val="00FD33B3"/>
    <w:rsid w:val="00FD3905"/>
    <w:rsid w:val="00FD4124"/>
    <w:rsid w:val="00FD4620"/>
    <w:rsid w:val="00FD48FE"/>
    <w:rsid w:val="00FD4CC0"/>
    <w:rsid w:val="00FD5502"/>
    <w:rsid w:val="00FD5CFE"/>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086"/>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DEC"/>
    <w:rsid w:val="00FE74E2"/>
    <w:rsid w:val="00FE74FC"/>
    <w:rsid w:val="00FE761D"/>
    <w:rsid w:val="00FE76FA"/>
    <w:rsid w:val="00FE7903"/>
    <w:rsid w:val="00FE798A"/>
    <w:rsid w:val="00FE7C3E"/>
    <w:rsid w:val="00FE7E6E"/>
    <w:rsid w:val="00FE7F00"/>
    <w:rsid w:val="00FF01C5"/>
    <w:rsid w:val="00FF0224"/>
    <w:rsid w:val="00FF0502"/>
    <w:rsid w:val="00FF0BBB"/>
    <w:rsid w:val="00FF1455"/>
    <w:rsid w:val="00FF1716"/>
    <w:rsid w:val="00FF1862"/>
    <w:rsid w:val="00FF1A6C"/>
    <w:rsid w:val="00FF1D5F"/>
    <w:rsid w:val="00FF2077"/>
    <w:rsid w:val="00FF20A8"/>
    <w:rsid w:val="00FF2524"/>
    <w:rsid w:val="00FF283C"/>
    <w:rsid w:val="00FF2A88"/>
    <w:rsid w:val="00FF339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BDBC40A"/>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Hyperlink" w:uiPriority="99"/>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261FB"/>
    <w:rPr>
      <w:rFonts w:ascii="Times New Roman" w:eastAsia="Times New Roman" w:hAnsi="Times New Roman"/>
      <w:sz w:val="24"/>
      <w:szCs w:val="24"/>
    </w:rPr>
  </w:style>
  <w:style w:type="paragraph" w:styleId="Heading1">
    <w:name w:val="heading 1"/>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uiPriority w:val="39"/>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9C2D12"/>
    <w:rPr>
      <w:rFonts w:ascii="Arial" w:hAnsi="Arial"/>
      <w:sz w:val="36"/>
      <w:lang w:val="en-GB"/>
    </w:rPr>
  </w:style>
  <w:style w:type="character" w:customStyle="1" w:styleId="Heading2Char">
    <w:name w:val="Heading 2 Char"/>
    <w:link w:val="Heading2"/>
    <w:rsid w:val="007B0E72"/>
    <w:rPr>
      <w:rFonts w:ascii="Arial" w:eastAsia="Times New Roman" w:hAnsi="Arial"/>
      <w:sz w:val="24"/>
      <w:lang w:eastAsia="ja-JP" w:bidi="hi-IN"/>
    </w:rPr>
  </w:style>
  <w:style w:type="character" w:customStyle="1" w:styleId="Heading3Char">
    <w:name w:val="Heading 3 Char"/>
    <w:link w:val="Heading3"/>
    <w:rsid w:val="0061723D"/>
    <w:rPr>
      <w:rFonts w:ascii="Arial" w:eastAsia="Times New Roman" w:hAnsi="Arial"/>
      <w:sz w:val="22"/>
      <w:lang w:eastAsia="ja-JP" w:bidi="hi-IN"/>
    </w:rPr>
  </w:style>
  <w:style w:type="character" w:customStyle="1" w:styleId="Heading4Char">
    <w:name w:val="Heading 4 Char"/>
    <w:aliases w:val="h4 Char"/>
    <w:link w:val="Heading4"/>
    <w:rsid w:val="00184F51"/>
    <w:rPr>
      <w:rFonts w:ascii="Arial" w:eastAsia="Times New Roman" w:hAnsi="Arial"/>
      <w:sz w:val="24"/>
      <w:lang w:eastAsia="ja-JP" w:bidi="hi-IN"/>
    </w:rPr>
  </w:style>
  <w:style w:type="character" w:customStyle="1" w:styleId="Heading5Char">
    <w:name w:val="Heading 5 Char"/>
    <w:link w:val="Heading5"/>
    <w:rsid w:val="00184F51"/>
    <w:rPr>
      <w:rFonts w:ascii="Arial" w:eastAsia="Times New Roman" w:hAnsi="Arial"/>
      <w:sz w:val="22"/>
      <w:lang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E57B43"/>
    <w:pPr>
      <w:numPr>
        <w:numId w:val="12"/>
      </w:numPr>
    </w:pPr>
    <w:rPr>
      <w:rFonts w:eastAsia="Calibri"/>
      <w:lang w:eastAsia="ja-JP" w:bidi="hi-IN"/>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link w:val="ListParagraph"/>
    <w:uiPriority w:val="34"/>
    <w:locked/>
    <w:rsid w:val="00E57B43"/>
    <w:rPr>
      <w:rFonts w:ascii="Times New Roman" w:eastAsia="Calibri" w:hAnsi="Times New Roman"/>
      <w:sz w:val="24"/>
      <w:szCs w:val="24"/>
      <w:lang w:eastAsia="ja-JP" w:bidi="hi-IN"/>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eastAsia="SimSun"/>
      <w:sz w:val="20"/>
      <w:szCs w:val="20"/>
      <w:lang w:val="en-GB" w:eastAsia="en-GB"/>
    </w:rPr>
  </w:style>
  <w:style w:type="character" w:customStyle="1" w:styleId="NumberedListChar">
    <w:name w:val="Numbered List Char"/>
    <w:link w:val="NumberedList"/>
    <w:rsid w:val="00E11FDD"/>
    <w:rPr>
      <w:rFonts w:ascii="Times New Roman" w:hAnsi="Times New Roman"/>
    </w:rPr>
  </w:style>
  <w:style w:type="character" w:customStyle="1" w:styleId="fontstyle21">
    <w:name w:val="fontstyle21"/>
    <w:rsid w:val="00263A20"/>
    <w:rPr>
      <w:rFonts w:ascii="SimSun" w:hAnsi="SimSun" w:hint="default"/>
      <w:b w:val="0"/>
      <w:bCs w:val="0"/>
      <w:i/>
      <w:iCs/>
      <w:color w:val="000000"/>
      <w:sz w:val="20"/>
      <w:szCs w:val="20"/>
    </w:rPr>
  </w:style>
  <w:style w:type="character" w:styleId="UnresolvedMention">
    <w:name w:val="Unresolved Mention"/>
    <w:basedOn w:val="DefaultParagraphFont"/>
    <w:uiPriority w:val="99"/>
    <w:semiHidden/>
    <w:unhideWhenUsed/>
    <w:rsid w:val="0004781D"/>
    <w:rPr>
      <w:color w:val="808080"/>
      <w:shd w:val="clear" w:color="auto" w:fill="E6E6E6"/>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uiPriority w:val="99"/>
    <w:semiHidden/>
    <w:rsid w:val="00AE205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9533645">
      <w:bodyDiv w:val="1"/>
      <w:marLeft w:val="0"/>
      <w:marRight w:val="0"/>
      <w:marTop w:val="0"/>
      <w:marBottom w:val="0"/>
      <w:divBdr>
        <w:top w:val="none" w:sz="0" w:space="0" w:color="auto"/>
        <w:left w:val="none" w:sz="0" w:space="0" w:color="auto"/>
        <w:bottom w:val="none" w:sz="0" w:space="0" w:color="auto"/>
        <w:right w:val="none" w:sz="0" w:space="0" w:color="auto"/>
      </w:divBdr>
      <w:divsChild>
        <w:div w:id="1303383051">
          <w:marLeft w:val="0"/>
          <w:marRight w:val="0"/>
          <w:marTop w:val="0"/>
          <w:marBottom w:val="0"/>
          <w:divBdr>
            <w:top w:val="none" w:sz="0" w:space="0" w:color="auto"/>
            <w:left w:val="none" w:sz="0" w:space="0" w:color="auto"/>
            <w:bottom w:val="none" w:sz="0" w:space="0" w:color="auto"/>
            <w:right w:val="none" w:sz="0" w:space="0" w:color="auto"/>
          </w:divBdr>
        </w:div>
        <w:div w:id="221671750">
          <w:marLeft w:val="0"/>
          <w:marRight w:val="0"/>
          <w:marTop w:val="0"/>
          <w:marBottom w:val="0"/>
          <w:divBdr>
            <w:top w:val="none" w:sz="0" w:space="0" w:color="auto"/>
            <w:left w:val="none" w:sz="0" w:space="0" w:color="auto"/>
            <w:bottom w:val="none" w:sz="0" w:space="0" w:color="auto"/>
            <w:right w:val="none" w:sz="0" w:space="0" w:color="auto"/>
          </w:divBdr>
        </w:div>
        <w:div w:id="1060400013">
          <w:marLeft w:val="0"/>
          <w:marRight w:val="0"/>
          <w:marTop w:val="0"/>
          <w:marBottom w:val="0"/>
          <w:divBdr>
            <w:top w:val="none" w:sz="0" w:space="0" w:color="auto"/>
            <w:left w:val="none" w:sz="0" w:space="0" w:color="auto"/>
            <w:bottom w:val="none" w:sz="0" w:space="0" w:color="auto"/>
            <w:right w:val="none" w:sz="0" w:space="0" w:color="auto"/>
          </w:divBdr>
        </w:div>
        <w:div w:id="619457993">
          <w:marLeft w:val="0"/>
          <w:marRight w:val="0"/>
          <w:marTop w:val="0"/>
          <w:marBottom w:val="0"/>
          <w:divBdr>
            <w:top w:val="none" w:sz="0" w:space="0" w:color="auto"/>
            <w:left w:val="none" w:sz="0" w:space="0" w:color="auto"/>
            <w:bottom w:val="none" w:sz="0" w:space="0" w:color="auto"/>
            <w:right w:val="none" w:sz="0" w:space="0" w:color="auto"/>
          </w:divBdr>
        </w:div>
        <w:div w:id="27341561">
          <w:marLeft w:val="0"/>
          <w:marRight w:val="0"/>
          <w:marTop w:val="0"/>
          <w:marBottom w:val="0"/>
          <w:divBdr>
            <w:top w:val="none" w:sz="0" w:space="0" w:color="auto"/>
            <w:left w:val="none" w:sz="0" w:space="0" w:color="auto"/>
            <w:bottom w:val="none" w:sz="0" w:space="0" w:color="auto"/>
            <w:right w:val="none" w:sz="0" w:space="0" w:color="auto"/>
          </w:divBdr>
        </w:div>
        <w:div w:id="436563316">
          <w:marLeft w:val="0"/>
          <w:marRight w:val="0"/>
          <w:marTop w:val="0"/>
          <w:marBottom w:val="0"/>
          <w:divBdr>
            <w:top w:val="none" w:sz="0" w:space="0" w:color="auto"/>
            <w:left w:val="none" w:sz="0" w:space="0" w:color="auto"/>
            <w:bottom w:val="none" w:sz="0" w:space="0" w:color="auto"/>
            <w:right w:val="none" w:sz="0" w:space="0" w:color="auto"/>
          </w:divBdr>
        </w:div>
        <w:div w:id="721173726">
          <w:marLeft w:val="0"/>
          <w:marRight w:val="0"/>
          <w:marTop w:val="0"/>
          <w:marBottom w:val="0"/>
          <w:divBdr>
            <w:top w:val="none" w:sz="0" w:space="0" w:color="auto"/>
            <w:left w:val="none" w:sz="0" w:space="0" w:color="auto"/>
            <w:bottom w:val="none" w:sz="0" w:space="0" w:color="auto"/>
            <w:right w:val="none" w:sz="0" w:space="0" w:color="auto"/>
          </w:divBdr>
        </w:div>
        <w:div w:id="447160630">
          <w:marLeft w:val="0"/>
          <w:marRight w:val="0"/>
          <w:marTop w:val="0"/>
          <w:marBottom w:val="0"/>
          <w:divBdr>
            <w:top w:val="none" w:sz="0" w:space="0" w:color="auto"/>
            <w:left w:val="none" w:sz="0" w:space="0" w:color="auto"/>
            <w:bottom w:val="none" w:sz="0" w:space="0" w:color="auto"/>
            <w:right w:val="none" w:sz="0" w:space="0" w:color="auto"/>
          </w:divBdr>
        </w:div>
        <w:div w:id="718866415">
          <w:marLeft w:val="0"/>
          <w:marRight w:val="0"/>
          <w:marTop w:val="0"/>
          <w:marBottom w:val="0"/>
          <w:divBdr>
            <w:top w:val="none" w:sz="0" w:space="0" w:color="auto"/>
            <w:left w:val="none" w:sz="0" w:space="0" w:color="auto"/>
            <w:bottom w:val="none" w:sz="0" w:space="0" w:color="auto"/>
            <w:right w:val="none" w:sz="0" w:space="0" w:color="auto"/>
          </w:divBdr>
        </w:div>
        <w:div w:id="1450012167">
          <w:marLeft w:val="0"/>
          <w:marRight w:val="0"/>
          <w:marTop w:val="0"/>
          <w:marBottom w:val="0"/>
          <w:divBdr>
            <w:top w:val="none" w:sz="0" w:space="0" w:color="auto"/>
            <w:left w:val="none" w:sz="0" w:space="0" w:color="auto"/>
            <w:bottom w:val="none" w:sz="0" w:space="0" w:color="auto"/>
            <w:right w:val="none" w:sz="0" w:space="0" w:color="auto"/>
          </w:divBdr>
        </w:div>
        <w:div w:id="965895196">
          <w:marLeft w:val="0"/>
          <w:marRight w:val="0"/>
          <w:marTop w:val="0"/>
          <w:marBottom w:val="0"/>
          <w:divBdr>
            <w:top w:val="none" w:sz="0" w:space="0" w:color="auto"/>
            <w:left w:val="none" w:sz="0" w:space="0" w:color="auto"/>
            <w:bottom w:val="none" w:sz="0" w:space="0" w:color="auto"/>
            <w:right w:val="none" w:sz="0" w:space="0" w:color="auto"/>
          </w:divBdr>
        </w:div>
        <w:div w:id="952445845">
          <w:marLeft w:val="0"/>
          <w:marRight w:val="0"/>
          <w:marTop w:val="0"/>
          <w:marBottom w:val="0"/>
          <w:divBdr>
            <w:top w:val="none" w:sz="0" w:space="0" w:color="auto"/>
            <w:left w:val="none" w:sz="0" w:space="0" w:color="auto"/>
            <w:bottom w:val="none" w:sz="0" w:space="0" w:color="auto"/>
            <w:right w:val="none" w:sz="0" w:space="0" w:color="auto"/>
          </w:divBdr>
        </w:div>
      </w:divsChild>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24554633">
      <w:bodyDiv w:val="1"/>
      <w:marLeft w:val="0"/>
      <w:marRight w:val="0"/>
      <w:marTop w:val="0"/>
      <w:marBottom w:val="0"/>
      <w:divBdr>
        <w:top w:val="none" w:sz="0" w:space="0" w:color="auto"/>
        <w:left w:val="none" w:sz="0" w:space="0" w:color="auto"/>
        <w:bottom w:val="none" w:sz="0" w:space="0" w:color="auto"/>
        <w:right w:val="none" w:sz="0" w:space="0" w:color="auto"/>
      </w:divBdr>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25680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59784435">
      <w:bodyDiv w:val="1"/>
      <w:marLeft w:val="0"/>
      <w:marRight w:val="0"/>
      <w:marTop w:val="0"/>
      <w:marBottom w:val="0"/>
      <w:divBdr>
        <w:top w:val="none" w:sz="0" w:space="0" w:color="auto"/>
        <w:left w:val="none" w:sz="0" w:space="0" w:color="auto"/>
        <w:bottom w:val="none" w:sz="0" w:space="0" w:color="auto"/>
        <w:right w:val="none" w:sz="0" w:space="0" w:color="auto"/>
      </w:divBdr>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8910258">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2216004">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9035085">
      <w:bodyDiv w:val="1"/>
      <w:marLeft w:val="0"/>
      <w:marRight w:val="0"/>
      <w:marTop w:val="0"/>
      <w:marBottom w:val="0"/>
      <w:divBdr>
        <w:top w:val="none" w:sz="0" w:space="0" w:color="auto"/>
        <w:left w:val="none" w:sz="0" w:space="0" w:color="auto"/>
        <w:bottom w:val="none" w:sz="0" w:space="0" w:color="auto"/>
        <w:right w:val="none" w:sz="0" w:space="0" w:color="auto"/>
      </w:divBdr>
      <w:divsChild>
        <w:div w:id="1525360744">
          <w:marLeft w:val="0"/>
          <w:marRight w:val="0"/>
          <w:marTop w:val="0"/>
          <w:marBottom w:val="0"/>
          <w:divBdr>
            <w:top w:val="none" w:sz="0" w:space="0" w:color="auto"/>
            <w:left w:val="none" w:sz="0" w:space="0" w:color="auto"/>
            <w:bottom w:val="none" w:sz="0" w:space="0" w:color="auto"/>
            <w:right w:val="none" w:sz="0" w:space="0" w:color="auto"/>
          </w:divBdr>
        </w:div>
        <w:div w:id="975111322">
          <w:marLeft w:val="0"/>
          <w:marRight w:val="0"/>
          <w:marTop w:val="0"/>
          <w:marBottom w:val="0"/>
          <w:divBdr>
            <w:top w:val="none" w:sz="0" w:space="0" w:color="auto"/>
            <w:left w:val="none" w:sz="0" w:space="0" w:color="auto"/>
            <w:bottom w:val="none" w:sz="0" w:space="0" w:color="auto"/>
            <w:right w:val="none" w:sz="0" w:space="0" w:color="auto"/>
          </w:divBdr>
        </w:div>
        <w:div w:id="279455099">
          <w:marLeft w:val="0"/>
          <w:marRight w:val="0"/>
          <w:marTop w:val="0"/>
          <w:marBottom w:val="0"/>
          <w:divBdr>
            <w:top w:val="none" w:sz="0" w:space="0" w:color="auto"/>
            <w:left w:val="none" w:sz="0" w:space="0" w:color="auto"/>
            <w:bottom w:val="none" w:sz="0" w:space="0" w:color="auto"/>
            <w:right w:val="none" w:sz="0" w:space="0" w:color="auto"/>
          </w:divBdr>
        </w:div>
        <w:div w:id="2096436888">
          <w:marLeft w:val="0"/>
          <w:marRight w:val="0"/>
          <w:marTop w:val="0"/>
          <w:marBottom w:val="0"/>
          <w:divBdr>
            <w:top w:val="none" w:sz="0" w:space="0" w:color="auto"/>
            <w:left w:val="none" w:sz="0" w:space="0" w:color="auto"/>
            <w:bottom w:val="none" w:sz="0" w:space="0" w:color="auto"/>
            <w:right w:val="none" w:sz="0" w:space="0" w:color="auto"/>
          </w:divBdr>
        </w:div>
        <w:div w:id="1118180013">
          <w:marLeft w:val="0"/>
          <w:marRight w:val="0"/>
          <w:marTop w:val="0"/>
          <w:marBottom w:val="0"/>
          <w:divBdr>
            <w:top w:val="none" w:sz="0" w:space="0" w:color="auto"/>
            <w:left w:val="none" w:sz="0" w:space="0" w:color="auto"/>
            <w:bottom w:val="none" w:sz="0" w:space="0" w:color="auto"/>
            <w:right w:val="none" w:sz="0" w:space="0" w:color="auto"/>
          </w:divBdr>
        </w:div>
        <w:div w:id="2136368256">
          <w:marLeft w:val="0"/>
          <w:marRight w:val="0"/>
          <w:marTop w:val="0"/>
          <w:marBottom w:val="0"/>
          <w:divBdr>
            <w:top w:val="none" w:sz="0" w:space="0" w:color="auto"/>
            <w:left w:val="none" w:sz="0" w:space="0" w:color="auto"/>
            <w:bottom w:val="none" w:sz="0" w:space="0" w:color="auto"/>
            <w:right w:val="none" w:sz="0" w:space="0" w:color="auto"/>
          </w:divBdr>
        </w:div>
        <w:div w:id="668795404">
          <w:marLeft w:val="0"/>
          <w:marRight w:val="0"/>
          <w:marTop w:val="0"/>
          <w:marBottom w:val="0"/>
          <w:divBdr>
            <w:top w:val="none" w:sz="0" w:space="0" w:color="auto"/>
            <w:left w:val="none" w:sz="0" w:space="0" w:color="auto"/>
            <w:bottom w:val="none" w:sz="0" w:space="0" w:color="auto"/>
            <w:right w:val="none" w:sz="0" w:space="0" w:color="auto"/>
          </w:divBdr>
        </w:div>
        <w:div w:id="12610510">
          <w:marLeft w:val="0"/>
          <w:marRight w:val="0"/>
          <w:marTop w:val="0"/>
          <w:marBottom w:val="0"/>
          <w:divBdr>
            <w:top w:val="none" w:sz="0" w:space="0" w:color="auto"/>
            <w:left w:val="none" w:sz="0" w:space="0" w:color="auto"/>
            <w:bottom w:val="none" w:sz="0" w:space="0" w:color="auto"/>
            <w:right w:val="none" w:sz="0" w:space="0" w:color="auto"/>
          </w:divBdr>
        </w:div>
        <w:div w:id="1758020753">
          <w:marLeft w:val="0"/>
          <w:marRight w:val="0"/>
          <w:marTop w:val="0"/>
          <w:marBottom w:val="0"/>
          <w:divBdr>
            <w:top w:val="none" w:sz="0" w:space="0" w:color="auto"/>
            <w:left w:val="none" w:sz="0" w:space="0" w:color="auto"/>
            <w:bottom w:val="none" w:sz="0" w:space="0" w:color="auto"/>
            <w:right w:val="none" w:sz="0" w:space="0" w:color="auto"/>
          </w:divBdr>
        </w:div>
        <w:div w:id="305361993">
          <w:marLeft w:val="0"/>
          <w:marRight w:val="0"/>
          <w:marTop w:val="0"/>
          <w:marBottom w:val="0"/>
          <w:divBdr>
            <w:top w:val="none" w:sz="0" w:space="0" w:color="auto"/>
            <w:left w:val="none" w:sz="0" w:space="0" w:color="auto"/>
            <w:bottom w:val="none" w:sz="0" w:space="0" w:color="auto"/>
            <w:right w:val="none" w:sz="0" w:space="0" w:color="auto"/>
          </w:divBdr>
        </w:div>
        <w:div w:id="883374243">
          <w:marLeft w:val="0"/>
          <w:marRight w:val="0"/>
          <w:marTop w:val="0"/>
          <w:marBottom w:val="0"/>
          <w:divBdr>
            <w:top w:val="none" w:sz="0" w:space="0" w:color="auto"/>
            <w:left w:val="none" w:sz="0" w:space="0" w:color="auto"/>
            <w:bottom w:val="none" w:sz="0" w:space="0" w:color="auto"/>
            <w:right w:val="none" w:sz="0" w:space="0" w:color="auto"/>
          </w:divBdr>
        </w:div>
        <w:div w:id="1407261002">
          <w:marLeft w:val="0"/>
          <w:marRight w:val="0"/>
          <w:marTop w:val="0"/>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4638982">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652150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62778340">
      <w:bodyDiv w:val="1"/>
      <w:marLeft w:val="0"/>
      <w:marRight w:val="0"/>
      <w:marTop w:val="0"/>
      <w:marBottom w:val="0"/>
      <w:divBdr>
        <w:top w:val="none" w:sz="0" w:space="0" w:color="auto"/>
        <w:left w:val="none" w:sz="0" w:space="0" w:color="auto"/>
        <w:bottom w:val="none" w:sz="0" w:space="0" w:color="auto"/>
        <w:right w:val="none" w:sz="0" w:space="0" w:color="auto"/>
      </w:divBdr>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974526">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3371513">
      <w:bodyDiv w:val="1"/>
      <w:marLeft w:val="0"/>
      <w:marRight w:val="0"/>
      <w:marTop w:val="0"/>
      <w:marBottom w:val="0"/>
      <w:divBdr>
        <w:top w:val="none" w:sz="0" w:space="0" w:color="auto"/>
        <w:left w:val="none" w:sz="0" w:space="0" w:color="auto"/>
        <w:bottom w:val="none" w:sz="0" w:space="0" w:color="auto"/>
        <w:right w:val="none" w:sz="0" w:space="0" w:color="auto"/>
      </w:divBdr>
      <w:divsChild>
        <w:div w:id="182137158">
          <w:marLeft w:val="360"/>
          <w:marRight w:val="0"/>
          <w:marTop w:val="200"/>
          <w:marBottom w:val="0"/>
          <w:divBdr>
            <w:top w:val="none" w:sz="0" w:space="0" w:color="auto"/>
            <w:left w:val="none" w:sz="0" w:space="0" w:color="auto"/>
            <w:bottom w:val="none" w:sz="0" w:space="0" w:color="auto"/>
            <w:right w:val="none" w:sz="0" w:space="0" w:color="auto"/>
          </w:divBdr>
        </w:div>
        <w:div w:id="450251120">
          <w:marLeft w:val="360"/>
          <w:marRight w:val="0"/>
          <w:marTop w:val="200"/>
          <w:marBottom w:val="0"/>
          <w:divBdr>
            <w:top w:val="none" w:sz="0" w:space="0" w:color="auto"/>
            <w:left w:val="none" w:sz="0" w:space="0" w:color="auto"/>
            <w:bottom w:val="none" w:sz="0" w:space="0" w:color="auto"/>
            <w:right w:val="none" w:sz="0" w:space="0" w:color="auto"/>
          </w:divBdr>
        </w:div>
        <w:div w:id="1822961310">
          <w:marLeft w:val="1080"/>
          <w:marRight w:val="0"/>
          <w:marTop w:val="100"/>
          <w:marBottom w:val="0"/>
          <w:divBdr>
            <w:top w:val="none" w:sz="0" w:space="0" w:color="auto"/>
            <w:left w:val="none" w:sz="0" w:space="0" w:color="auto"/>
            <w:bottom w:val="none" w:sz="0" w:space="0" w:color="auto"/>
            <w:right w:val="none" w:sz="0" w:space="0" w:color="auto"/>
          </w:divBdr>
        </w:div>
        <w:div w:id="1660689109">
          <w:marLeft w:val="1080"/>
          <w:marRight w:val="0"/>
          <w:marTop w:val="100"/>
          <w:marBottom w:val="0"/>
          <w:divBdr>
            <w:top w:val="none" w:sz="0" w:space="0" w:color="auto"/>
            <w:left w:val="none" w:sz="0" w:space="0" w:color="auto"/>
            <w:bottom w:val="none" w:sz="0" w:space="0" w:color="auto"/>
            <w:right w:val="none" w:sz="0" w:space="0" w:color="auto"/>
          </w:divBdr>
        </w:div>
      </w:divsChild>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022473">
      <w:bodyDiv w:val="1"/>
      <w:marLeft w:val="0"/>
      <w:marRight w:val="0"/>
      <w:marTop w:val="0"/>
      <w:marBottom w:val="0"/>
      <w:divBdr>
        <w:top w:val="none" w:sz="0" w:space="0" w:color="auto"/>
        <w:left w:val="none" w:sz="0" w:space="0" w:color="auto"/>
        <w:bottom w:val="none" w:sz="0" w:space="0" w:color="auto"/>
        <w:right w:val="none" w:sz="0" w:space="0" w:color="auto"/>
      </w:divBdr>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551092">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56797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07005959">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37274016">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E6540EE7-76AD-414C-9869-3BD11EA98F3A}">
  <ds:schemaRefs>
    <ds:schemaRef ds:uri="http://schemas.openxmlformats.org/officeDocument/2006/bibliography"/>
  </ds:schemaRefs>
</ds:datastoreItem>
</file>

<file path=customXml/itemProps4.xml><?xml version="1.0" encoding="utf-8"?>
<ds:datastoreItem xmlns:ds="http://schemas.openxmlformats.org/officeDocument/2006/customXml" ds:itemID="{F07C3487-ADA7-8845-881D-DAE304866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11</TotalTime>
  <Pages>13</Pages>
  <Words>3424</Words>
  <Characters>19518</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22897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cp:lastModifiedBy>Apple Inc.</cp:lastModifiedBy>
  <cp:revision>6</cp:revision>
  <cp:lastPrinted>2017-11-08T23:02:00Z</cp:lastPrinted>
  <dcterms:created xsi:type="dcterms:W3CDTF">2018-05-14T17:24:00Z</dcterms:created>
  <dcterms:modified xsi:type="dcterms:W3CDTF">2018-05-14T20:26:00Z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d37f79cd-23f4-4af1-afab-a820b9455e24</vt:lpwstr>
  </property>
  <property fmtid="{D5CDD505-2E9C-101B-9397-08002B2CF9AE}" pid="6" name="CTP_TimeStamp">
    <vt:lpwstr>2018-04-03 16:32:38Z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